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292E3D6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91725">
        <w:t>5</w:t>
      </w:r>
      <w:r w:rsidR="00075DCB">
        <w:t>-</w:t>
      </w:r>
      <w:r w:rsidR="00F20F5C">
        <w:t>e</w:t>
      </w:r>
      <w:r w:rsidRPr="00CE0424">
        <w:tab/>
      </w:r>
      <w:r w:rsidR="008C29E6" w:rsidRPr="008C29E6">
        <w:rPr>
          <w:sz w:val="32"/>
          <w:szCs w:val="32"/>
        </w:rPr>
        <w:t>R2-2108807</w:t>
      </w:r>
    </w:p>
    <w:p w14:paraId="689A050A" w14:textId="678E109B" w:rsidR="00E90E49" w:rsidRPr="00CE0424" w:rsidRDefault="00C268E6" w:rsidP="00311702">
      <w:pPr>
        <w:pStyle w:val="3GPPHeader"/>
      </w:pPr>
      <w:r>
        <w:t xml:space="preserve">Electronic meeting, </w:t>
      </w:r>
      <w:r w:rsidR="00E91725">
        <w:t>August</w:t>
      </w:r>
      <w:r>
        <w:t xml:space="preserve"> </w:t>
      </w:r>
      <w:r w:rsidR="00C66768">
        <w:t>1</w:t>
      </w:r>
      <w:r w:rsidR="00E91725">
        <w:t>6</w:t>
      </w:r>
      <w:r w:rsidRPr="00C268E6">
        <w:rPr>
          <w:vertAlign w:val="superscript"/>
        </w:rPr>
        <w:t>t</w:t>
      </w:r>
      <w:r w:rsidR="00791415">
        <w:rPr>
          <w:vertAlign w:val="superscript"/>
        </w:rPr>
        <w:t>h</w:t>
      </w:r>
      <w:r>
        <w:t xml:space="preserve"> – </w:t>
      </w:r>
      <w:r w:rsidR="00C66768">
        <w:t>2</w:t>
      </w:r>
      <w:r w:rsidR="00E91725">
        <w:t>7</w:t>
      </w:r>
      <w:r w:rsidRPr="00C268E6">
        <w:rPr>
          <w:vertAlign w:val="superscript"/>
        </w:rPr>
        <w:t>th</w:t>
      </w:r>
      <w:r>
        <w:t xml:space="preserve"> 202</w:t>
      </w:r>
      <w:r w:rsidR="00075DCB">
        <w:t>1</w:t>
      </w:r>
    </w:p>
    <w:p w14:paraId="77C040A6" w14:textId="77777777" w:rsidR="00E90E49" w:rsidRPr="00CE0424" w:rsidRDefault="00E90E49" w:rsidP="00357380">
      <w:pPr>
        <w:pStyle w:val="3GPPHeader"/>
      </w:pPr>
    </w:p>
    <w:p w14:paraId="257D0F5A" w14:textId="632D5463" w:rsidR="00E90E49" w:rsidRPr="00075DCB" w:rsidRDefault="00E90E49" w:rsidP="00311702">
      <w:pPr>
        <w:pStyle w:val="3GPPHeader"/>
        <w:rPr>
          <w:sz w:val="22"/>
          <w:szCs w:val="22"/>
          <w:lang w:val="sv-SE"/>
        </w:rPr>
      </w:pPr>
      <w:r w:rsidRPr="00075DCB">
        <w:rPr>
          <w:sz w:val="22"/>
          <w:szCs w:val="22"/>
          <w:lang w:val="sv-SE"/>
        </w:rPr>
        <w:t>Agenda Item:</w:t>
      </w:r>
      <w:r w:rsidRPr="00075DCB">
        <w:rPr>
          <w:sz w:val="22"/>
          <w:szCs w:val="22"/>
          <w:lang w:val="sv-SE"/>
        </w:rPr>
        <w:tab/>
      </w:r>
      <w:r w:rsidR="00C66768">
        <w:rPr>
          <w:sz w:val="22"/>
          <w:szCs w:val="22"/>
          <w:lang w:val="sv-SE"/>
        </w:rPr>
        <w:t>8.1</w:t>
      </w:r>
      <w:r w:rsidR="00E91725">
        <w:rPr>
          <w:sz w:val="22"/>
          <w:szCs w:val="22"/>
          <w:lang w:val="sv-SE"/>
        </w:rPr>
        <w:t>7</w:t>
      </w:r>
      <w:r w:rsidR="00C66768">
        <w:rPr>
          <w:sz w:val="22"/>
          <w:szCs w:val="22"/>
          <w:lang w:val="sv-SE"/>
        </w:rPr>
        <w:t>.</w:t>
      </w:r>
      <w:r w:rsidR="00E91725">
        <w:rPr>
          <w:sz w:val="22"/>
          <w:szCs w:val="22"/>
          <w:lang w:val="sv-SE"/>
        </w:rPr>
        <w:t>2</w:t>
      </w:r>
    </w:p>
    <w:p w14:paraId="49C2AA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2CF54627" w:rsidR="00E90E49" w:rsidRPr="00CE0424" w:rsidRDefault="003D3C45" w:rsidP="00311702">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E91725">
        <w:rPr>
          <w:sz w:val="22"/>
          <w:szCs w:val="22"/>
        </w:rPr>
        <w:t xml:space="preserve">non-serving </w:t>
      </w:r>
      <w:r w:rsidR="00603021">
        <w:rPr>
          <w:sz w:val="22"/>
          <w:szCs w:val="22"/>
        </w:rPr>
        <w:t>PCI</w:t>
      </w:r>
      <w:r w:rsidR="00E91725">
        <w:rPr>
          <w:sz w:val="22"/>
          <w:szCs w:val="22"/>
        </w:rPr>
        <w:t xml:space="preserve"> related aspects</w:t>
      </w:r>
      <w:r w:rsidR="00603021">
        <w:rPr>
          <w:sz w:val="22"/>
          <w:szCs w:val="22"/>
        </w:rPr>
        <w:t xml:space="preserve"> of mTRP operation</w:t>
      </w:r>
    </w:p>
    <w:p w14:paraId="1F73837D" w14:textId="0901C11E"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p>
    <w:p w14:paraId="2D881FBD" w14:textId="77777777" w:rsidR="00E90E49" w:rsidRPr="00CE0424" w:rsidRDefault="00E90E49" w:rsidP="00E90E49"/>
    <w:p w14:paraId="5A365A85" w14:textId="77777777" w:rsidR="00E90E49" w:rsidRPr="00CE0424" w:rsidRDefault="00230D18" w:rsidP="00CE0424">
      <w:pPr>
        <w:pStyle w:val="Heading1"/>
      </w:pPr>
      <w:r>
        <w:t>1</w:t>
      </w:r>
      <w:r>
        <w:tab/>
      </w:r>
      <w:r w:rsidR="00E90E49" w:rsidRPr="00CE0424">
        <w:t>Introduction</w:t>
      </w:r>
    </w:p>
    <w:p w14:paraId="723B7761" w14:textId="4F83147C" w:rsidR="00477768" w:rsidRDefault="00E91725" w:rsidP="00CE0424">
      <w:pPr>
        <w:pStyle w:val="BodyText"/>
        <w:rPr>
          <w:rFonts w:asciiTheme="minorHAnsi" w:hAnsiTheme="minorHAnsi" w:cstheme="minorHAnsi"/>
          <w:sz w:val="22"/>
          <w:szCs w:val="22"/>
        </w:rPr>
      </w:pPr>
      <w:r>
        <w:rPr>
          <w:rFonts w:asciiTheme="minorHAnsi" w:hAnsiTheme="minorHAnsi" w:cstheme="minorHAnsi"/>
          <w:sz w:val="22"/>
          <w:szCs w:val="22"/>
        </w:rPr>
        <w:t xml:space="preserve">During the RAN plenary#92e, the WI scope for feMIMO was reduced and the L1/L2 centric inter-cell mobility aspects were removed from the WID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_Ref68178044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w:t>
      </w:r>
      <w:r>
        <w:rPr>
          <w:rFonts w:asciiTheme="minorHAnsi" w:hAnsiTheme="minorHAnsi" w:cstheme="minorHAnsi"/>
          <w:sz w:val="22"/>
          <w:szCs w:val="22"/>
        </w:rPr>
        <w:fldChar w:fldCharType="end"/>
      </w:r>
      <w:r w:rsidR="00797DEB" w:rsidRPr="0020525F">
        <w:rPr>
          <w:rFonts w:asciiTheme="minorHAnsi" w:hAnsiTheme="minorHAnsi" w:cstheme="minorHAnsi"/>
          <w:sz w:val="22"/>
          <w:szCs w:val="22"/>
        </w:rPr>
        <w:t xml:space="preserve">. </w:t>
      </w:r>
      <w:r>
        <w:rPr>
          <w:rFonts w:asciiTheme="minorHAnsi" w:hAnsiTheme="minorHAnsi" w:cstheme="minorHAnsi"/>
          <w:sz w:val="22"/>
          <w:szCs w:val="22"/>
        </w:rPr>
        <w:t xml:space="preserve">The WID now has the following </w:t>
      </w:r>
      <w:r w:rsidR="005370F0">
        <w:rPr>
          <w:rFonts w:asciiTheme="minorHAnsi" w:hAnsiTheme="minorHAnsi" w:cstheme="minorHAnsi"/>
          <w:sz w:val="22"/>
          <w:szCs w:val="22"/>
        </w:rPr>
        <w:t xml:space="preserve">RAN2 specific </w:t>
      </w:r>
      <w:r>
        <w:rPr>
          <w:rFonts w:asciiTheme="minorHAnsi" w:hAnsiTheme="minorHAnsi" w:cstheme="minorHAnsi"/>
          <w:sz w:val="22"/>
          <w:szCs w:val="22"/>
        </w:rPr>
        <w:t>objectives.</w:t>
      </w:r>
    </w:p>
    <w:p w14:paraId="53B988DB" w14:textId="77777777" w:rsidR="00E91725" w:rsidRDefault="00E91725" w:rsidP="00E91725">
      <w:pPr>
        <w:spacing w:after="0"/>
        <w:rPr>
          <w:lang w:eastAsia="ko-KR"/>
        </w:rPr>
      </w:pPr>
    </w:p>
    <w:p w14:paraId="5D6AB46A" w14:textId="6001CBA9" w:rsidR="00E91725" w:rsidRDefault="005370F0" w:rsidP="00CE0424">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0" behindDoc="0" locked="0" layoutInCell="1" allowOverlap="1" wp14:anchorId="3FEF00EA" wp14:editId="4F02E7C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0759BB" w14:textId="77777777" w:rsidR="005370F0" w:rsidRDefault="005370F0" w:rsidP="00E91725">
                            <w:pPr>
                              <w:numPr>
                                <w:ilvl w:val="0"/>
                                <w:numId w:val="29"/>
                              </w:numPr>
                              <w:snapToGrid w:val="0"/>
                              <w:spacing w:after="0"/>
                              <w:ind w:right="-101"/>
                              <w:textAlignment w:val="auto"/>
                              <w:rPr>
                                <w:lang w:eastAsia="ko-KR"/>
                              </w:rPr>
                            </w:pPr>
                            <w:r>
                              <w:rPr>
                                <w:lang w:eastAsia="ko-KR"/>
                              </w:rPr>
                              <w:t>Specify higher layer support of enhancements listed above, at least including [RAN2]</w:t>
                            </w:r>
                          </w:p>
                          <w:p w14:paraId="650A3DB0" w14:textId="77777777" w:rsidR="005370F0" w:rsidRDefault="005370F0" w:rsidP="00E91725">
                            <w:pPr>
                              <w:numPr>
                                <w:ilvl w:val="1"/>
                                <w:numId w:val="29"/>
                              </w:numPr>
                              <w:snapToGrid w:val="0"/>
                              <w:spacing w:after="120"/>
                              <w:ind w:right="-101"/>
                              <w:textAlignment w:val="auto"/>
                              <w:rPr>
                                <w:lang w:eastAsia="ko-KR"/>
                              </w:rPr>
                            </w:pPr>
                            <w:r>
                              <w:rPr>
                                <w:lang w:eastAsia="en-US"/>
                              </w:rPr>
                              <w:t>For inter-cell beam management:</w:t>
                            </w:r>
                            <w:r>
                              <w:t xml:space="preserve"> </w:t>
                            </w:r>
                            <w:r>
                              <w:rPr>
                                <w:lang w:eastAsia="en-US"/>
                              </w:rPr>
                              <w:t>MAC (if any) and RRC enhancements (including signaling, measurement configuration and TCI state switching)</w:t>
                            </w:r>
                            <w:r>
                              <w:rPr>
                                <w:rStyle w:val="apple-converted-space"/>
                                <w:lang w:eastAsia="en-US"/>
                              </w:rPr>
                              <w:t> </w:t>
                            </w:r>
                            <w:r>
                              <w:rPr>
                                <w:lang w:eastAsia="en-US"/>
                              </w:rPr>
                              <w:t>assuming no impact to serving cell (</w:t>
                            </w:r>
                            <w:proofErr w:type="gramStart"/>
                            <w:r>
                              <w:rPr>
                                <w:lang w:eastAsia="en-US"/>
                              </w:rPr>
                              <w:t>i.e.</w:t>
                            </w:r>
                            <w:proofErr w:type="gramEnd"/>
                            <w:r>
                              <w:rPr>
                                <w:lang w:eastAsia="en-US"/>
                              </w:rPr>
                              <w:t xml:space="preserve"> serving cell does not change when beam selection is done)</w:t>
                            </w:r>
                          </w:p>
                          <w:p w14:paraId="54ED725C" w14:textId="77777777" w:rsidR="005370F0" w:rsidRDefault="005370F0" w:rsidP="00E91725">
                            <w:pPr>
                              <w:numPr>
                                <w:ilvl w:val="0"/>
                                <w:numId w:val="29"/>
                              </w:numPr>
                              <w:snapToGrid w:val="0"/>
                              <w:spacing w:after="120"/>
                              <w:ind w:right="-99"/>
                              <w:textAlignment w:val="auto"/>
                              <w:rPr>
                                <w:lang w:eastAsia="ko-KR"/>
                              </w:rPr>
                            </w:pPr>
                            <w:r>
                              <w:rPr>
                                <w:lang w:eastAsia="en-US"/>
                              </w:rPr>
                              <w:t>Specify signaling between CU and DU to enable inter-cell beam management if any [RAN3]</w:t>
                            </w:r>
                          </w:p>
                          <w:p w14:paraId="34492311" w14:textId="77777777" w:rsidR="005370F0" w:rsidRDefault="005370F0" w:rsidP="00E91725">
                            <w:pPr>
                              <w:numPr>
                                <w:ilvl w:val="0"/>
                                <w:numId w:val="29"/>
                              </w:numPr>
                              <w:snapToGrid w:val="0"/>
                              <w:spacing w:after="0"/>
                              <w:ind w:right="-101"/>
                              <w:textAlignment w:val="auto"/>
                              <w:rPr>
                                <w:lang w:eastAsia="ko-KR"/>
                              </w:rPr>
                            </w:pPr>
                            <w:r>
                              <w:rPr>
                                <w:lang w:eastAsia="ko-KR"/>
                              </w:rPr>
                              <w:t xml:space="preserve">Specify </w:t>
                            </w:r>
                            <w:r>
                              <w:rPr>
                                <w:rFonts w:eastAsia="Malgun Gothic"/>
                                <w:lang w:eastAsia="ko-KR"/>
                              </w:rPr>
                              <w:t>core</w:t>
                            </w:r>
                            <w:r>
                              <w:rPr>
                                <w:lang w:eastAsia="ko-KR"/>
                              </w:rPr>
                              <w:t xml:space="preserve"> requirements associated with the </w:t>
                            </w:r>
                            <w:r>
                              <w:rPr>
                                <w:rFonts w:eastAsia="Malgun Gothic"/>
                                <w:lang w:eastAsia="ko-KR"/>
                              </w:rPr>
                              <w:t xml:space="preserve">items specified by </w:t>
                            </w:r>
                            <w:r>
                              <w:rPr>
                                <w:lang w:eastAsia="ko-KR"/>
                              </w:rPr>
                              <w:t>RAN1, at least including [RAN4]</w:t>
                            </w:r>
                          </w:p>
                          <w:p w14:paraId="74D30F60" w14:textId="77777777" w:rsidR="005370F0" w:rsidRPr="00107074" w:rsidRDefault="005370F0" w:rsidP="00107074">
                            <w:pPr>
                              <w:numPr>
                                <w:ilvl w:val="1"/>
                                <w:numId w:val="29"/>
                              </w:numPr>
                              <w:snapToGrid w:val="0"/>
                              <w:spacing w:after="0"/>
                              <w:ind w:right="-101"/>
                              <w:rPr>
                                <w:lang w:eastAsia="en-US"/>
                              </w:rPr>
                            </w:pPr>
                            <w:r>
                              <w:rPr>
                                <w:lang w:eastAsia="en-US"/>
                              </w:rPr>
                              <w:t>UE requirements for inter-cell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EF00E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00759BB" w14:textId="77777777" w:rsidR="005370F0" w:rsidRDefault="005370F0" w:rsidP="00E91725">
                      <w:pPr>
                        <w:numPr>
                          <w:ilvl w:val="0"/>
                          <w:numId w:val="29"/>
                        </w:numPr>
                        <w:snapToGrid w:val="0"/>
                        <w:spacing w:after="0"/>
                        <w:ind w:right="-101"/>
                        <w:textAlignment w:val="auto"/>
                        <w:rPr>
                          <w:lang w:eastAsia="ko-KR"/>
                        </w:rPr>
                      </w:pPr>
                      <w:r>
                        <w:rPr>
                          <w:lang w:eastAsia="ko-KR"/>
                        </w:rPr>
                        <w:t>Specify higher layer support of enhancements listed above, at least including [RAN2]</w:t>
                      </w:r>
                    </w:p>
                    <w:p w14:paraId="650A3DB0" w14:textId="77777777" w:rsidR="005370F0" w:rsidRDefault="005370F0" w:rsidP="00E91725">
                      <w:pPr>
                        <w:numPr>
                          <w:ilvl w:val="1"/>
                          <w:numId w:val="29"/>
                        </w:numPr>
                        <w:snapToGrid w:val="0"/>
                        <w:spacing w:after="120"/>
                        <w:ind w:right="-101"/>
                        <w:textAlignment w:val="auto"/>
                        <w:rPr>
                          <w:lang w:eastAsia="ko-KR"/>
                        </w:rPr>
                      </w:pPr>
                      <w:r>
                        <w:rPr>
                          <w:lang w:eastAsia="en-US"/>
                        </w:rPr>
                        <w:t>For inter-cell beam management:</w:t>
                      </w:r>
                      <w:r>
                        <w:t xml:space="preserve"> </w:t>
                      </w:r>
                      <w:r>
                        <w:rPr>
                          <w:lang w:eastAsia="en-US"/>
                        </w:rPr>
                        <w:t xml:space="preserve">MAC (if any) and RRC enhancements (including </w:t>
                      </w:r>
                      <w:proofErr w:type="spellStart"/>
                      <w:r>
                        <w:rPr>
                          <w:lang w:eastAsia="en-US"/>
                        </w:rPr>
                        <w:t>signaling</w:t>
                      </w:r>
                      <w:proofErr w:type="spellEnd"/>
                      <w:r>
                        <w:rPr>
                          <w:lang w:eastAsia="en-US"/>
                        </w:rPr>
                        <w:t>, measurement configuration and TCI state switching)</w:t>
                      </w:r>
                      <w:r>
                        <w:rPr>
                          <w:rStyle w:val="apple-converted-space"/>
                          <w:lang w:eastAsia="en-US"/>
                        </w:rPr>
                        <w:t> </w:t>
                      </w:r>
                      <w:r>
                        <w:rPr>
                          <w:lang w:eastAsia="en-US"/>
                        </w:rPr>
                        <w:t>assuming no impact to serving cell (</w:t>
                      </w:r>
                      <w:proofErr w:type="gramStart"/>
                      <w:r>
                        <w:rPr>
                          <w:lang w:eastAsia="en-US"/>
                        </w:rPr>
                        <w:t>i.e.</w:t>
                      </w:r>
                      <w:proofErr w:type="gramEnd"/>
                      <w:r>
                        <w:rPr>
                          <w:lang w:eastAsia="en-US"/>
                        </w:rPr>
                        <w:t xml:space="preserve"> serving cell does not change when beam selection is done)</w:t>
                      </w:r>
                    </w:p>
                    <w:p w14:paraId="54ED725C" w14:textId="77777777" w:rsidR="005370F0" w:rsidRDefault="005370F0" w:rsidP="00E91725">
                      <w:pPr>
                        <w:numPr>
                          <w:ilvl w:val="0"/>
                          <w:numId w:val="29"/>
                        </w:numPr>
                        <w:snapToGrid w:val="0"/>
                        <w:spacing w:after="120"/>
                        <w:ind w:right="-99"/>
                        <w:textAlignment w:val="auto"/>
                        <w:rPr>
                          <w:lang w:eastAsia="ko-KR"/>
                        </w:rPr>
                      </w:pPr>
                      <w:r>
                        <w:rPr>
                          <w:lang w:eastAsia="en-US"/>
                        </w:rPr>
                        <w:t xml:space="preserve">Specify </w:t>
                      </w:r>
                      <w:proofErr w:type="spellStart"/>
                      <w:r>
                        <w:rPr>
                          <w:lang w:eastAsia="en-US"/>
                        </w:rPr>
                        <w:t>signaling</w:t>
                      </w:r>
                      <w:proofErr w:type="spellEnd"/>
                      <w:r>
                        <w:rPr>
                          <w:lang w:eastAsia="en-US"/>
                        </w:rPr>
                        <w:t xml:space="preserve"> between CU and DU to enable inter-cell beam management if any [RAN3]</w:t>
                      </w:r>
                    </w:p>
                    <w:p w14:paraId="34492311" w14:textId="77777777" w:rsidR="005370F0" w:rsidRDefault="005370F0" w:rsidP="00E91725">
                      <w:pPr>
                        <w:numPr>
                          <w:ilvl w:val="0"/>
                          <w:numId w:val="29"/>
                        </w:numPr>
                        <w:snapToGrid w:val="0"/>
                        <w:spacing w:after="0"/>
                        <w:ind w:right="-101"/>
                        <w:textAlignment w:val="auto"/>
                        <w:rPr>
                          <w:lang w:eastAsia="ko-KR"/>
                        </w:rPr>
                      </w:pPr>
                      <w:r>
                        <w:rPr>
                          <w:lang w:eastAsia="ko-KR"/>
                        </w:rPr>
                        <w:t xml:space="preserve">Specify </w:t>
                      </w:r>
                      <w:r>
                        <w:rPr>
                          <w:rFonts w:eastAsia="Malgun Gothic"/>
                          <w:lang w:eastAsia="ko-KR"/>
                        </w:rPr>
                        <w:t>core</w:t>
                      </w:r>
                      <w:r>
                        <w:rPr>
                          <w:lang w:eastAsia="ko-KR"/>
                        </w:rPr>
                        <w:t xml:space="preserve"> requirements associated with the </w:t>
                      </w:r>
                      <w:r>
                        <w:rPr>
                          <w:rFonts w:eastAsia="Malgun Gothic"/>
                          <w:lang w:eastAsia="ko-KR"/>
                        </w:rPr>
                        <w:t xml:space="preserve">items specified by </w:t>
                      </w:r>
                      <w:r>
                        <w:rPr>
                          <w:lang w:eastAsia="ko-KR"/>
                        </w:rPr>
                        <w:t>RAN1, at least including [RAN4]</w:t>
                      </w:r>
                    </w:p>
                    <w:p w14:paraId="74D30F60" w14:textId="77777777" w:rsidR="005370F0" w:rsidRPr="00107074" w:rsidRDefault="005370F0" w:rsidP="00107074">
                      <w:pPr>
                        <w:numPr>
                          <w:ilvl w:val="1"/>
                          <w:numId w:val="29"/>
                        </w:numPr>
                        <w:snapToGrid w:val="0"/>
                        <w:spacing w:after="0"/>
                        <w:ind w:right="-101"/>
                        <w:rPr>
                          <w:lang w:eastAsia="en-US"/>
                        </w:rPr>
                      </w:pPr>
                      <w:r>
                        <w:rPr>
                          <w:lang w:eastAsia="en-US"/>
                        </w:rPr>
                        <w:t>UE requirements for inter-cell beam management</w:t>
                      </w:r>
                    </w:p>
                  </w:txbxContent>
                </v:textbox>
                <w10:wrap type="square"/>
              </v:shape>
            </w:pict>
          </mc:Fallback>
        </mc:AlternateContent>
      </w:r>
    </w:p>
    <w:p w14:paraId="480700BB" w14:textId="3D827DCF" w:rsidR="0025058C" w:rsidRDefault="00E91725" w:rsidP="00E91725">
      <w:pPr>
        <w:pStyle w:val="BodyText"/>
        <w:rPr>
          <w:rFonts w:asciiTheme="minorHAnsi" w:hAnsiTheme="minorHAnsi" w:cstheme="minorHAnsi"/>
          <w:sz w:val="22"/>
          <w:szCs w:val="22"/>
        </w:rPr>
      </w:pPr>
      <w:r>
        <w:rPr>
          <w:rFonts w:asciiTheme="minorHAnsi" w:hAnsiTheme="minorHAnsi" w:cstheme="minorHAnsi"/>
          <w:sz w:val="22"/>
          <w:szCs w:val="22"/>
        </w:rPr>
        <w:t>Further, RAN4 has asked RAN2 regarding the non-serving cell related question</w:t>
      </w:r>
      <w:r w:rsidR="00250FE5">
        <w:rPr>
          <w:rFonts w:asciiTheme="minorHAnsi" w:hAnsiTheme="minorHAnsi" w:cstheme="minorHAnsi"/>
          <w:sz w:val="22"/>
          <w:szCs w:val="22"/>
        </w:rPr>
        <w:t xml:space="preserve"> </w:t>
      </w:r>
      <w:r w:rsidR="00250FE5">
        <w:rPr>
          <w:rFonts w:asciiTheme="minorHAnsi" w:hAnsiTheme="minorHAnsi" w:cstheme="minorHAnsi"/>
          <w:sz w:val="22"/>
          <w:szCs w:val="22"/>
        </w:rPr>
        <w:fldChar w:fldCharType="begin"/>
      </w:r>
      <w:r w:rsidR="00250FE5">
        <w:rPr>
          <w:rFonts w:asciiTheme="minorHAnsi" w:hAnsiTheme="minorHAnsi" w:cstheme="minorHAnsi"/>
          <w:sz w:val="22"/>
          <w:szCs w:val="22"/>
        </w:rPr>
        <w:instrText xml:space="preserve"> REF _Ref78956182 \r \h </w:instrText>
      </w:r>
      <w:r w:rsidR="00250FE5">
        <w:rPr>
          <w:rFonts w:asciiTheme="minorHAnsi" w:hAnsiTheme="minorHAnsi" w:cstheme="minorHAnsi"/>
          <w:sz w:val="22"/>
          <w:szCs w:val="22"/>
        </w:rPr>
      </w:r>
      <w:r w:rsidR="00250FE5">
        <w:rPr>
          <w:rFonts w:asciiTheme="minorHAnsi" w:hAnsiTheme="minorHAnsi" w:cstheme="minorHAnsi"/>
          <w:sz w:val="22"/>
          <w:szCs w:val="22"/>
        </w:rPr>
        <w:fldChar w:fldCharType="separate"/>
      </w:r>
      <w:r w:rsidR="00250FE5">
        <w:rPr>
          <w:rFonts w:asciiTheme="minorHAnsi" w:hAnsiTheme="minorHAnsi" w:cstheme="minorHAnsi"/>
          <w:sz w:val="22"/>
          <w:szCs w:val="22"/>
        </w:rPr>
        <w:t>[2]</w:t>
      </w:r>
      <w:r w:rsidR="00250FE5">
        <w:rPr>
          <w:rFonts w:asciiTheme="minorHAnsi" w:hAnsiTheme="minorHAnsi" w:cstheme="minorHAnsi"/>
          <w:sz w:val="22"/>
          <w:szCs w:val="22"/>
        </w:rPr>
        <w:fldChar w:fldCharType="end"/>
      </w:r>
      <w:r>
        <w:rPr>
          <w:rFonts w:asciiTheme="minorHAnsi" w:hAnsiTheme="minorHAnsi" w:cstheme="minorHAnsi"/>
          <w:sz w:val="22"/>
          <w:szCs w:val="22"/>
        </w:rPr>
        <w:t>.</w:t>
      </w:r>
    </w:p>
    <w:p w14:paraId="522130BC" w14:textId="772DEB61" w:rsidR="005370F0" w:rsidRDefault="005370F0" w:rsidP="00E91725">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1" behindDoc="0" locked="0" layoutInCell="1" allowOverlap="1" wp14:anchorId="37ABD2A3" wp14:editId="55BC8E5B">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AE5CA1" w14:textId="77777777" w:rsidR="005370F0" w:rsidRPr="00504A06" w:rsidRDefault="005370F0" w:rsidP="00504A06">
                            <w:pPr>
                              <w:pStyle w:val="ListParagraph"/>
                              <w:numPr>
                                <w:ilvl w:val="0"/>
                                <w:numId w:val="32"/>
                              </w:numPr>
                              <w:spacing w:after="120" w:line="288" w:lineRule="auto"/>
                              <w:contextualSpacing/>
                              <w:jc w:val="both"/>
                            </w:pPr>
                            <w:r>
                              <w:t xml:space="preserve">RAN4 also would like RAN1 and RAN2 to further clarify on the definition of non-serving cell especially whether UE shall support data/control channel reception and transmission from non-serving cell including simultaneous reception and transmission capabilities under CA scenarios.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ABD2A3"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8AE5CA1" w14:textId="77777777" w:rsidR="005370F0" w:rsidRPr="00504A06" w:rsidRDefault="005370F0" w:rsidP="00504A06">
                      <w:pPr>
                        <w:pStyle w:val="ListParagraph"/>
                        <w:numPr>
                          <w:ilvl w:val="0"/>
                          <w:numId w:val="32"/>
                        </w:numPr>
                        <w:spacing w:after="120" w:line="288" w:lineRule="auto"/>
                        <w:contextualSpacing/>
                        <w:jc w:val="both"/>
                      </w:pPr>
                      <w:r>
                        <w:t xml:space="preserve">RAN4 also would like RAN1 and RAN2 to further clarify on the definition of non-serving cell especially whether UE shall support data/control channel reception and transmission from non-serving cell including simultaneous reception and transmission capabilities under CA scenarios. </w:t>
                      </w:r>
                    </w:p>
                  </w:txbxContent>
                </v:textbox>
                <w10:wrap type="square"/>
              </v:shape>
            </w:pict>
          </mc:Fallback>
        </mc:AlternateContent>
      </w:r>
    </w:p>
    <w:p w14:paraId="23C28F5C" w14:textId="22C1DC09" w:rsidR="005370F0" w:rsidRPr="0020525F" w:rsidRDefault="005370F0" w:rsidP="00E91725">
      <w:pPr>
        <w:pStyle w:val="BodyText"/>
        <w:rPr>
          <w:rFonts w:asciiTheme="minorHAnsi" w:hAnsiTheme="minorHAnsi" w:cstheme="minorHAnsi"/>
          <w:sz w:val="22"/>
          <w:szCs w:val="22"/>
        </w:rPr>
      </w:pPr>
      <w:r>
        <w:rPr>
          <w:rFonts w:asciiTheme="minorHAnsi" w:hAnsiTheme="minorHAnsi" w:cstheme="minorHAnsi"/>
          <w:sz w:val="22"/>
          <w:szCs w:val="22"/>
        </w:rPr>
        <w:t xml:space="preserve">Based on the above, RAN2 needs to discuss the impact of this ‘non-serving cell’ on the existing procedures </w:t>
      </w:r>
      <w:proofErr w:type="gramStart"/>
      <w:r>
        <w:rPr>
          <w:rFonts w:asciiTheme="minorHAnsi" w:hAnsiTheme="minorHAnsi" w:cstheme="minorHAnsi"/>
          <w:sz w:val="22"/>
          <w:szCs w:val="22"/>
        </w:rPr>
        <w:t>and also</w:t>
      </w:r>
      <w:proofErr w:type="gramEnd"/>
      <w:r>
        <w:rPr>
          <w:rFonts w:asciiTheme="minorHAnsi" w:hAnsiTheme="minorHAnsi" w:cstheme="minorHAnsi"/>
          <w:sz w:val="22"/>
          <w:szCs w:val="22"/>
        </w:rPr>
        <w:t xml:space="preserve"> reply to RAN4.</w:t>
      </w:r>
    </w:p>
    <w:p w14:paraId="6E5FC6FC" w14:textId="77777777" w:rsidR="004000E8" w:rsidRDefault="00230D18" w:rsidP="00CE0424">
      <w:pPr>
        <w:pStyle w:val="Heading1"/>
      </w:pPr>
      <w:bookmarkStart w:id="0" w:name="_Ref178064866"/>
      <w:r>
        <w:t>2</w:t>
      </w:r>
      <w:r>
        <w:tab/>
      </w:r>
      <w:r w:rsidR="004000E8" w:rsidRPr="00CE0424">
        <w:t>Discussion</w:t>
      </w:r>
      <w:bookmarkEnd w:id="0"/>
    </w:p>
    <w:p w14:paraId="5FB6AEC7" w14:textId="235AD463" w:rsidR="00F01420" w:rsidRDefault="00094325" w:rsidP="00D8045A">
      <w:pPr>
        <w:rPr>
          <w:rFonts w:asciiTheme="minorHAnsi" w:hAnsiTheme="minorHAnsi" w:cstheme="minorHAnsi"/>
          <w:sz w:val="22"/>
          <w:szCs w:val="22"/>
        </w:rPr>
      </w:pPr>
      <w:r>
        <w:rPr>
          <w:rFonts w:asciiTheme="minorHAnsi" w:hAnsiTheme="minorHAnsi" w:cstheme="minorHAnsi"/>
          <w:sz w:val="22"/>
          <w:szCs w:val="22"/>
        </w:rPr>
        <w:t xml:space="preserve">As part of </w:t>
      </w:r>
      <w:r w:rsidR="00603021">
        <w:rPr>
          <w:rFonts w:asciiTheme="minorHAnsi" w:hAnsiTheme="minorHAnsi" w:cstheme="minorHAnsi"/>
          <w:sz w:val="22"/>
          <w:szCs w:val="22"/>
        </w:rPr>
        <w:t xml:space="preserve">Rel-16 mTRP </w:t>
      </w:r>
      <w:r>
        <w:rPr>
          <w:rFonts w:asciiTheme="minorHAnsi" w:hAnsiTheme="minorHAnsi" w:cstheme="minorHAnsi"/>
          <w:sz w:val="22"/>
          <w:szCs w:val="22"/>
        </w:rPr>
        <w:t>enhancements</w:t>
      </w:r>
      <w:r w:rsidR="00603021">
        <w:rPr>
          <w:rFonts w:asciiTheme="minorHAnsi" w:hAnsiTheme="minorHAnsi" w:cstheme="minorHAnsi"/>
          <w:sz w:val="22"/>
          <w:szCs w:val="22"/>
        </w:rPr>
        <w:t xml:space="preserve">, the UE </w:t>
      </w:r>
      <w:proofErr w:type="gramStart"/>
      <w:r w:rsidR="00603021">
        <w:rPr>
          <w:rFonts w:asciiTheme="minorHAnsi" w:hAnsiTheme="minorHAnsi" w:cstheme="minorHAnsi"/>
          <w:sz w:val="22"/>
          <w:szCs w:val="22"/>
        </w:rPr>
        <w:t>is able to</w:t>
      </w:r>
      <w:proofErr w:type="gramEnd"/>
      <w:r w:rsidR="00603021">
        <w:rPr>
          <w:rFonts w:asciiTheme="minorHAnsi" w:hAnsiTheme="minorHAnsi" w:cstheme="minorHAnsi"/>
          <w:sz w:val="22"/>
          <w:szCs w:val="22"/>
        </w:rPr>
        <w:t xml:space="preserve"> receive from two TRPs at the same point in time i.e., simultaneous reception from two TRPs is possible in Rel-16. </w:t>
      </w:r>
    </w:p>
    <w:p w14:paraId="49D1A731" w14:textId="5B039A01" w:rsidR="0064440F" w:rsidRDefault="0064440F" w:rsidP="0064440F">
      <w:pPr>
        <w:pStyle w:val="Observation"/>
      </w:pPr>
      <w:bookmarkStart w:id="1" w:name="_Toc79091688"/>
      <w:r>
        <w:t xml:space="preserve">Based on Rel-16 mTRP enhancements, a UE </w:t>
      </w:r>
      <w:proofErr w:type="gramStart"/>
      <w:r>
        <w:t xml:space="preserve">is </w:t>
      </w:r>
      <w:r>
        <w:rPr>
          <w:rFonts w:asciiTheme="minorHAnsi" w:hAnsiTheme="minorHAnsi" w:cstheme="minorHAnsi"/>
          <w:sz w:val="22"/>
          <w:szCs w:val="22"/>
        </w:rPr>
        <w:t>able to</w:t>
      </w:r>
      <w:proofErr w:type="gramEnd"/>
      <w:r>
        <w:rPr>
          <w:rFonts w:asciiTheme="minorHAnsi" w:hAnsiTheme="minorHAnsi" w:cstheme="minorHAnsi"/>
          <w:sz w:val="22"/>
          <w:szCs w:val="22"/>
        </w:rPr>
        <w:t xml:space="preserve"> </w:t>
      </w:r>
      <w:r w:rsidR="00094325">
        <w:rPr>
          <w:rFonts w:asciiTheme="minorHAnsi" w:hAnsiTheme="minorHAnsi" w:cstheme="minorHAnsi"/>
          <w:sz w:val="22"/>
          <w:szCs w:val="22"/>
        </w:rPr>
        <w:t>perform</w:t>
      </w:r>
      <w:r>
        <w:rPr>
          <w:rFonts w:asciiTheme="minorHAnsi" w:hAnsiTheme="minorHAnsi" w:cstheme="minorHAnsi"/>
          <w:sz w:val="22"/>
          <w:szCs w:val="22"/>
        </w:rPr>
        <w:t xml:space="preserve"> simultaneous reception from two TRPs </w:t>
      </w:r>
      <w:r w:rsidR="004022E8">
        <w:rPr>
          <w:rFonts w:asciiTheme="minorHAnsi" w:hAnsiTheme="minorHAnsi" w:cstheme="minorHAnsi"/>
          <w:sz w:val="22"/>
          <w:szCs w:val="22"/>
        </w:rPr>
        <w:t>transmitting SSBs associated</w:t>
      </w:r>
      <w:r>
        <w:rPr>
          <w:rFonts w:asciiTheme="minorHAnsi" w:hAnsiTheme="minorHAnsi" w:cstheme="minorHAnsi"/>
          <w:sz w:val="22"/>
          <w:szCs w:val="22"/>
        </w:rPr>
        <w:t xml:space="preserve"> to the serving cell PCI</w:t>
      </w:r>
      <w:r>
        <w:t>.</w:t>
      </w:r>
      <w:bookmarkEnd w:id="1"/>
    </w:p>
    <w:p w14:paraId="2E2DD46B" w14:textId="77777777" w:rsidR="002626E5" w:rsidRDefault="002626E5" w:rsidP="002626E5">
      <w:pPr>
        <w:rPr>
          <w:rFonts w:asciiTheme="minorHAnsi" w:hAnsiTheme="minorHAnsi" w:cstheme="minorHAnsi"/>
          <w:sz w:val="22"/>
          <w:szCs w:val="22"/>
        </w:rPr>
      </w:pPr>
      <w:r>
        <w:rPr>
          <w:rFonts w:asciiTheme="minorHAnsi" w:hAnsiTheme="minorHAnsi" w:cstheme="minorHAnsi"/>
          <w:sz w:val="22"/>
          <w:szCs w:val="22"/>
        </w:rPr>
        <w:t>Based on the modifications to the WID, the changes point in the direction of just extending the mTRP concepts of Rel-16 to also include the possibility of including the L1-measurement report and TCI state configuration with QCL possibility to a SSB belonging to a different PCI than the serving cell PCI.</w:t>
      </w:r>
    </w:p>
    <w:p w14:paraId="2F3AE823" w14:textId="46365141" w:rsidR="002626E5" w:rsidRDefault="002626E5" w:rsidP="002626E5">
      <w:pPr>
        <w:pStyle w:val="Observation"/>
      </w:pPr>
      <w:bookmarkStart w:id="2" w:name="_Toc79091689"/>
      <w:r>
        <w:lastRenderedPageBreak/>
        <w:t>T</w:t>
      </w:r>
      <w:r w:rsidRPr="00467D92">
        <w:t>he</w:t>
      </w:r>
      <w:r>
        <w:t xml:space="preserve"> changes to the WID points at extending the Rel-16 mTRP concepts with enhancing </w:t>
      </w:r>
      <w:r>
        <w:rPr>
          <w:rFonts w:asciiTheme="minorHAnsi" w:hAnsiTheme="minorHAnsi" w:cstheme="minorHAnsi"/>
          <w:sz w:val="22"/>
          <w:szCs w:val="22"/>
        </w:rPr>
        <w:t>L1-measurement reports of an SSB belonging to a different PCI than the serving cell PCI and TCI state configuration with QCL possibility to a SSB belonging to a different PCI than the serving cell PCI</w:t>
      </w:r>
      <w:r>
        <w:t>.</w:t>
      </w:r>
      <w:bookmarkEnd w:id="2"/>
    </w:p>
    <w:p w14:paraId="6EFB24D7" w14:textId="183B7F86" w:rsidR="00E5293C" w:rsidRDefault="00E5293C" w:rsidP="00D8045A">
      <w:pPr>
        <w:rPr>
          <w:rFonts w:asciiTheme="minorHAnsi" w:hAnsiTheme="minorHAnsi" w:cstheme="minorHAnsi"/>
          <w:sz w:val="22"/>
          <w:szCs w:val="22"/>
        </w:rPr>
      </w:pPr>
      <w:r>
        <w:rPr>
          <w:rFonts w:asciiTheme="minorHAnsi" w:hAnsiTheme="minorHAnsi" w:cstheme="minorHAnsi"/>
          <w:noProof/>
          <w:sz w:val="22"/>
          <w:szCs w:val="22"/>
        </w:rPr>
        <mc:AlternateContent>
          <mc:Choice Requires="wpc">
            <w:drawing>
              <wp:inline distT="0" distB="0" distL="0" distR="0" wp14:anchorId="3D97E948" wp14:editId="006BC4A4">
                <wp:extent cx="5486400" cy="1799099"/>
                <wp:effectExtent l="0" t="0" r="0" b="10795"/>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Oval 4"/>
                        <wps:cNvSpPr/>
                        <wps:spPr>
                          <a:xfrm>
                            <a:off x="850900" y="541799"/>
                            <a:ext cx="2647950" cy="8001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2D57D9" w14:textId="3A8890D4" w:rsidR="00E5293C" w:rsidRPr="00E5293C" w:rsidRDefault="00E5293C" w:rsidP="00E5293C">
                              <w:pPr>
                                <w:jc w:val="center"/>
                                <w:rPr>
                                  <w:lang w:val="sv-SE"/>
                                </w:rPr>
                              </w:pPr>
                              <w:r>
                                <w:rPr>
                                  <w:lang w:val="sv-SE"/>
                                </w:rPr>
                                <w:t>PCI-A</w:t>
                              </w:r>
                              <w:r w:rsidR="005B326A">
                                <w:rPr>
                                  <w:lang w:val="sv-SE"/>
                                </w:rPr>
                                <w:t xml:space="preserve"> </w:t>
                              </w:r>
                              <w:r w:rsidR="00B47815">
                                <w:rPr>
                                  <w:lang w:val="sv-SE"/>
                                </w:rPr>
                                <w:t>(</w:t>
                              </w:r>
                              <w:r w:rsidR="00A96F65">
                                <w:rPr>
                                  <w:lang w:val="sv-SE"/>
                                </w:rPr>
                                <w:t>serving cell</w:t>
                              </w:r>
                              <w:r w:rsidR="00B47815">
                                <w:rPr>
                                  <w:lang w:val="sv-S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2044700" y="1164099"/>
                            <a:ext cx="908050" cy="635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502F240" w14:textId="4ACE8F8F" w:rsidR="005B326A" w:rsidRPr="005B326A" w:rsidRDefault="005B326A" w:rsidP="005B326A">
                              <w:pPr>
                                <w:jc w:val="center"/>
                                <w:rPr>
                                  <w:lang w:val="sv-SE"/>
                                </w:rPr>
                              </w:pPr>
                              <w:r>
                                <w:rPr>
                                  <w:lang w:val="sv-SE"/>
                                </w:rPr>
                                <w:t>PCI-Z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2192950" y="35999"/>
                            <a:ext cx="908050" cy="635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67A68CF" w14:textId="4C717161" w:rsidR="005B326A" w:rsidRPr="005B326A" w:rsidRDefault="005B326A" w:rsidP="005B326A">
                              <w:pPr>
                                <w:jc w:val="center"/>
                                <w:rPr>
                                  <w:lang w:val="sv-SE"/>
                                </w:rPr>
                              </w:pPr>
                              <w:r>
                                <w:rPr>
                                  <w:lang w:val="sv-SE"/>
                                </w:rPr>
                                <w:t>PCI-X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3107350" y="613849"/>
                            <a:ext cx="908050" cy="6350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96CFE5B" w14:textId="35B1CD53" w:rsidR="005B326A" w:rsidRPr="005B326A" w:rsidRDefault="005B326A" w:rsidP="005B326A">
                              <w:pPr>
                                <w:jc w:val="center"/>
                                <w:rPr>
                                  <w:lang w:val="sv-SE"/>
                                </w:rPr>
                              </w:pPr>
                              <w:r>
                                <w:rPr>
                                  <w:lang w:val="sv-SE"/>
                                </w:rPr>
                                <w:t>PCI-Y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D97E948" id="Canvas 3" o:spid="_x0000_s1028" editas="canvas" style="width:6in;height:141.65pt;mso-position-horizontal-relative:char;mso-position-vertical-relative:line" coordsize="54864,17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7989;visibility:visible;mso-wrap-style:square" filled="t">
                  <v:fill o:detectmouseclick="t"/>
                  <v:path o:connecttype="none"/>
                </v:shape>
                <v:oval id="Oval 4" o:spid="_x0000_s1030" style="position:absolute;left:8509;top:5417;width:26479;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" fillcolor="#4472c4 [3204]" strokecolor="#1f3763 [1604]" strokeweight="1pt">
                  <v:stroke joinstyle="miter"/>
                  <v:textbox>
                    <w:txbxContent>
                      <w:p w14:paraId="702D57D9" w14:textId="3A8890D4" w:rsidR="00E5293C" w:rsidRPr="00E5293C" w:rsidRDefault="00E5293C" w:rsidP="00E5293C">
                        <w:pPr>
                          <w:jc w:val="center"/>
                          <w:rPr>
                            <w:lang w:val="sv-SE"/>
                          </w:rPr>
                        </w:pPr>
                        <w:r>
                          <w:rPr>
                            <w:lang w:val="sv-SE"/>
                          </w:rPr>
                          <w:t>PCI-A</w:t>
                        </w:r>
                        <w:r w:rsidR="005B326A">
                          <w:rPr>
                            <w:lang w:val="sv-SE"/>
                          </w:rPr>
                          <w:t xml:space="preserve"> </w:t>
                        </w:r>
                        <w:r w:rsidR="00B47815">
                          <w:rPr>
                            <w:lang w:val="sv-SE"/>
                          </w:rPr>
                          <w:t>(</w:t>
                        </w:r>
                        <w:r w:rsidR="00A96F65">
                          <w:rPr>
                            <w:lang w:val="sv-SE"/>
                          </w:rPr>
                          <w:t>serving cell</w:t>
                        </w:r>
                        <w:r w:rsidR="00B47815">
                          <w:rPr>
                            <w:lang w:val="sv-SE"/>
                          </w:rPr>
                          <w:t>)</w:t>
                        </w:r>
                      </w:p>
                    </w:txbxContent>
                  </v:textbox>
                </v:oval>
                <v:oval id="Oval 5" o:spid="_x0000_s1031" style="position:absolute;left:20447;top:11640;width:9080;height:6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" fillcolor="#ed7d31 [3205]" strokecolor="#823b0b [1605]" strokeweight="1pt">
                  <v:stroke joinstyle="miter"/>
                  <v:textbox>
                    <w:txbxContent>
                      <w:p w14:paraId="1502F240" w14:textId="4ACE8F8F" w:rsidR="005B326A" w:rsidRPr="005B326A" w:rsidRDefault="005B326A" w:rsidP="005B326A">
                        <w:pPr>
                          <w:jc w:val="center"/>
                          <w:rPr>
                            <w:lang w:val="sv-SE"/>
                          </w:rPr>
                        </w:pPr>
                        <w:r>
                          <w:rPr>
                            <w:lang w:val="sv-SE"/>
                          </w:rPr>
                          <w:t>PCI-Z</w:t>
                        </w:r>
                      </w:p>
                    </w:txbxContent>
                  </v:textbox>
                </v:oval>
                <v:oval id="Oval 6" o:spid="_x0000_s1032" style="position:absolute;left:21929;top:359;width:9081;height:6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" fillcolor="#ed7d31 [3205]" strokecolor="#823b0b [1605]" strokeweight="1pt">
                  <v:stroke joinstyle="miter"/>
                  <v:textbox>
                    <w:txbxContent>
                      <w:p w14:paraId="467A68CF" w14:textId="4C717161" w:rsidR="005B326A" w:rsidRPr="005B326A" w:rsidRDefault="005B326A" w:rsidP="005B326A">
                        <w:pPr>
                          <w:jc w:val="center"/>
                          <w:rPr>
                            <w:lang w:val="sv-SE"/>
                          </w:rPr>
                        </w:pPr>
                        <w:r>
                          <w:rPr>
                            <w:lang w:val="sv-SE"/>
                          </w:rPr>
                          <w:t>PCI-X</w:t>
                        </w:r>
                      </w:p>
                    </w:txbxContent>
                  </v:textbox>
                </v:oval>
                <v:oval id="Oval 7" o:spid="_x0000_s1033" style="position:absolute;left:31073;top:6138;width:9081;height:6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196CFE5B" w14:textId="35B1CD53" w:rsidR="005B326A" w:rsidRPr="005B326A" w:rsidRDefault="005B326A" w:rsidP="005B326A">
                        <w:pPr>
                          <w:jc w:val="center"/>
                          <w:rPr>
                            <w:lang w:val="sv-SE"/>
                          </w:rPr>
                        </w:pPr>
                        <w:r>
                          <w:rPr>
                            <w:lang w:val="sv-SE"/>
                          </w:rPr>
                          <w:t>PCI-Y</w:t>
                        </w:r>
                      </w:p>
                    </w:txbxContent>
                  </v:textbox>
                </v:oval>
                <w10:anchorlock/>
              </v:group>
            </w:pict>
          </mc:Fallback>
        </mc:AlternateContent>
      </w:r>
    </w:p>
    <w:p w14:paraId="19B60328" w14:textId="0F130878" w:rsidR="005075C3" w:rsidRPr="005075C3" w:rsidRDefault="00D47BBD" w:rsidP="00D47BBD">
      <w:pPr>
        <w:pStyle w:val="Caption"/>
        <w:rPr>
          <w:rFonts w:asciiTheme="minorHAnsi" w:hAnsiTheme="minorHAnsi" w:cstheme="minorHAnsi"/>
          <w:sz w:val="22"/>
          <w:szCs w:val="22"/>
        </w:rPr>
      </w:pPr>
      <w:bookmarkStart w:id="3" w:name="_Ref79060971"/>
      <w:r>
        <w:t xml:space="preserve">Figure </w:t>
      </w:r>
      <w:r w:rsidR="008C29E6">
        <w:fldChar w:fldCharType="begin"/>
      </w:r>
      <w:r w:rsidR="008C29E6">
        <w:instrText xml:space="preserve"> SEQ Figure \* ARABIC </w:instrText>
      </w:r>
      <w:r w:rsidR="008C29E6">
        <w:fldChar w:fldCharType="separate"/>
      </w:r>
      <w:r>
        <w:rPr>
          <w:noProof/>
        </w:rPr>
        <w:t>1</w:t>
      </w:r>
      <w:r w:rsidR="008C29E6">
        <w:rPr>
          <w:noProof/>
        </w:rPr>
        <w:fldChar w:fldCharType="end"/>
      </w:r>
      <w:bookmarkEnd w:id="3"/>
      <w:r>
        <w:t xml:space="preserve">: An example scenario associated to inter-cell mTRP operation </w:t>
      </w:r>
      <w:r w:rsidR="004F2705">
        <w:t xml:space="preserve">related </w:t>
      </w:r>
      <w:r>
        <w:rPr>
          <w:noProof/>
        </w:rPr>
        <w:t>configuration</w:t>
      </w:r>
    </w:p>
    <w:p w14:paraId="6F6430B2" w14:textId="1EC50983" w:rsidR="00E21A54" w:rsidRDefault="00E21A54" w:rsidP="00E21A54">
      <w:pPr>
        <w:rPr>
          <w:rFonts w:asciiTheme="minorHAnsi" w:hAnsiTheme="minorHAnsi" w:cstheme="minorHAnsi"/>
          <w:sz w:val="22"/>
          <w:szCs w:val="22"/>
        </w:rPr>
      </w:pPr>
      <w:r>
        <w:rPr>
          <w:rFonts w:asciiTheme="minorHAnsi" w:hAnsiTheme="minorHAnsi" w:cstheme="minorHAnsi"/>
          <w:sz w:val="22"/>
          <w:szCs w:val="22"/>
        </w:rPr>
        <w:t xml:space="preserve">There have been some discussions in the past regarding the number of PCIs that can be configured along with the serving cell PCI for the L1 measurements.  From RAN2 point of view, including the SSB related information of the non-serving PCI in the CSI configuration is not a large overhead. In the example scenario given 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_Ref79060971 \h </w:instrText>
      </w:r>
      <w:r>
        <w:rPr>
          <w:rFonts w:asciiTheme="minorHAnsi" w:hAnsiTheme="minorHAnsi" w:cstheme="minorHAnsi"/>
          <w:sz w:val="22"/>
          <w:szCs w:val="22"/>
        </w:rPr>
      </w:r>
      <w:r>
        <w:rPr>
          <w:rFonts w:asciiTheme="minorHAnsi" w:hAnsiTheme="minorHAnsi" w:cstheme="minorHAnsi"/>
          <w:sz w:val="22"/>
          <w:szCs w:val="22"/>
        </w:rPr>
        <w:fldChar w:fldCharType="separate"/>
      </w:r>
      <w:r>
        <w:t xml:space="preserve">Figure </w:t>
      </w:r>
      <w:r>
        <w:rPr>
          <w:noProof/>
        </w:rPr>
        <w:t>1</w:t>
      </w:r>
      <w:r>
        <w:rPr>
          <w:rFonts w:asciiTheme="minorHAnsi" w:hAnsiTheme="minorHAnsi" w:cstheme="minorHAnsi"/>
          <w:sz w:val="22"/>
          <w:szCs w:val="22"/>
        </w:rPr>
        <w:fldChar w:fldCharType="end"/>
      </w:r>
      <w:r>
        <w:rPr>
          <w:rFonts w:asciiTheme="minorHAnsi" w:hAnsiTheme="minorHAnsi" w:cstheme="minorHAnsi"/>
          <w:sz w:val="22"/>
          <w:szCs w:val="22"/>
        </w:rPr>
        <w:t xml:space="preserve">, the UE has PCI-A as the serving cell. This UE could be configured with SSBs of PCI-X, PCI-Y and PCI-Z as part of the CSI reporting configuration. </w:t>
      </w:r>
      <w:r w:rsidR="00000D2E">
        <w:rPr>
          <w:rFonts w:asciiTheme="minorHAnsi" w:hAnsiTheme="minorHAnsi" w:cstheme="minorHAnsi"/>
          <w:sz w:val="22"/>
          <w:szCs w:val="22"/>
        </w:rPr>
        <w:t>To be more precice</w:t>
      </w:r>
      <w:r w:rsidR="00804130">
        <w:rPr>
          <w:rFonts w:asciiTheme="minorHAnsi" w:hAnsiTheme="minorHAnsi" w:cstheme="minorHAnsi"/>
          <w:sz w:val="22"/>
          <w:szCs w:val="22"/>
        </w:rPr>
        <w:t>, the additional SSB set(s) may be configured within the serving cell configuratio</w:t>
      </w:r>
      <w:r w:rsidR="00B30588">
        <w:rPr>
          <w:rFonts w:asciiTheme="minorHAnsi" w:hAnsiTheme="minorHAnsi" w:cstheme="minorHAnsi"/>
          <w:sz w:val="22"/>
          <w:szCs w:val="22"/>
        </w:rPr>
        <w:t xml:space="preserve">n and be associated with an index. This index can then be used associating TCI states, CSI measurement configurations, </w:t>
      </w:r>
      <w:r w:rsidR="00711B74">
        <w:rPr>
          <w:rFonts w:asciiTheme="minorHAnsi" w:hAnsiTheme="minorHAnsi" w:cstheme="minorHAnsi"/>
          <w:sz w:val="22"/>
          <w:szCs w:val="22"/>
        </w:rPr>
        <w:t>potential</w:t>
      </w:r>
      <w:r w:rsidR="00B30588">
        <w:rPr>
          <w:rFonts w:asciiTheme="minorHAnsi" w:hAnsiTheme="minorHAnsi" w:cstheme="minorHAnsi"/>
          <w:sz w:val="22"/>
          <w:szCs w:val="22"/>
        </w:rPr>
        <w:t xml:space="preserve"> UL configurations, etc to the additional SSB </w:t>
      </w:r>
      <w:proofErr w:type="gramStart"/>
      <w:r w:rsidR="00B30588">
        <w:rPr>
          <w:rFonts w:asciiTheme="minorHAnsi" w:hAnsiTheme="minorHAnsi" w:cstheme="minorHAnsi"/>
          <w:sz w:val="22"/>
          <w:szCs w:val="22"/>
        </w:rPr>
        <w:t>set(</w:t>
      </w:r>
      <w:proofErr w:type="gramEnd"/>
      <w:r w:rsidR="00B30588">
        <w:rPr>
          <w:rFonts w:asciiTheme="minorHAnsi" w:hAnsiTheme="minorHAnsi" w:cstheme="minorHAnsi"/>
          <w:sz w:val="22"/>
          <w:szCs w:val="22"/>
        </w:rPr>
        <w:t xml:space="preserve">PCI). </w:t>
      </w:r>
      <w:r>
        <w:rPr>
          <w:rFonts w:asciiTheme="minorHAnsi" w:hAnsiTheme="minorHAnsi" w:cstheme="minorHAnsi"/>
          <w:sz w:val="22"/>
          <w:szCs w:val="22"/>
        </w:rPr>
        <w:t>Based on the L1 measurement reports received by the serving DU, it can decide to enable the TCI state associated to the SSBs associated to one of the SSBs associated to PCI-X or PCI-Y or PCI-Z.</w:t>
      </w:r>
    </w:p>
    <w:p w14:paraId="0D6B237C" w14:textId="4C8393C2" w:rsidR="00E21A54" w:rsidRDefault="00074217" w:rsidP="00E21A54">
      <w:pPr>
        <w:pStyle w:val="Observation"/>
      </w:pPr>
      <w:bookmarkStart w:id="4" w:name="_Toc79091690"/>
      <w:r>
        <w:t>C</w:t>
      </w:r>
      <w:r w:rsidR="009B628E">
        <w:t>onfigur</w:t>
      </w:r>
      <w:r>
        <w:t>ing</w:t>
      </w:r>
      <w:r w:rsidR="009B628E">
        <w:t xml:space="preserve"> SSBs associated to more than one non serving cell PCI as part of the </w:t>
      </w:r>
      <w:r w:rsidR="004E0F61">
        <w:t xml:space="preserve">CSI reporting configuration </w:t>
      </w:r>
      <w:r>
        <w:t xml:space="preserve">in needed </w:t>
      </w:r>
      <w:r w:rsidR="0037132F">
        <w:t xml:space="preserve">to aid the network in identifying the </w:t>
      </w:r>
      <w:r w:rsidR="0093608B">
        <w:t xml:space="preserve">optimal </w:t>
      </w:r>
      <w:r w:rsidR="00F664A6">
        <w:t>TCI state</w:t>
      </w:r>
      <w:r w:rsidR="00E7581B">
        <w:t xml:space="preserve"> associated to </w:t>
      </w:r>
      <w:r w:rsidR="007343E2">
        <w:t xml:space="preserve">a SSB belonging to </w:t>
      </w:r>
      <w:r w:rsidR="00706D90">
        <w:t>non</w:t>
      </w:r>
      <w:r w:rsidR="007343E2">
        <w:t>-</w:t>
      </w:r>
      <w:r w:rsidR="00706D90">
        <w:t>serving PCI</w:t>
      </w:r>
      <w:r w:rsidR="00E21A54">
        <w:t>.</w:t>
      </w:r>
      <w:bookmarkEnd w:id="4"/>
    </w:p>
    <w:p w14:paraId="4F75C437" w14:textId="0EFB3BA1" w:rsidR="00EA6434" w:rsidRDefault="00603021" w:rsidP="00D8045A">
      <w:pPr>
        <w:rPr>
          <w:rFonts w:asciiTheme="minorHAnsi" w:hAnsiTheme="minorHAnsi" w:cstheme="minorHAnsi"/>
          <w:sz w:val="22"/>
          <w:szCs w:val="22"/>
        </w:rPr>
      </w:pPr>
      <w:r>
        <w:rPr>
          <w:rFonts w:asciiTheme="minorHAnsi" w:hAnsiTheme="minorHAnsi" w:cstheme="minorHAnsi"/>
          <w:sz w:val="22"/>
          <w:szCs w:val="22"/>
        </w:rPr>
        <w:t xml:space="preserve">As the Rel-17 mTRP enhancements are mostly about extending the possibility of having the second TRP transmitting a SSB containing a different PCI than the serving PCI, there is no reason why the simultaneous reception from such a TRP and the serving PCI TRP is not possible. Therefore, from RAN2 point </w:t>
      </w:r>
      <w:r w:rsidR="00A06255">
        <w:rPr>
          <w:rFonts w:asciiTheme="minorHAnsi" w:hAnsiTheme="minorHAnsi" w:cstheme="minorHAnsi"/>
          <w:sz w:val="22"/>
          <w:szCs w:val="22"/>
        </w:rPr>
        <w:t>o</w:t>
      </w:r>
      <w:r>
        <w:rPr>
          <w:rFonts w:asciiTheme="minorHAnsi" w:hAnsiTheme="minorHAnsi" w:cstheme="minorHAnsi"/>
          <w:sz w:val="22"/>
          <w:szCs w:val="22"/>
        </w:rPr>
        <w:t xml:space="preserve">f view, we can reply to RAN4 saying that there is no limitation from RAN2 in terms of enabling simultaneous reception from the non-serving PCI </w:t>
      </w:r>
      <w:r w:rsidR="00A06255">
        <w:rPr>
          <w:rFonts w:asciiTheme="minorHAnsi" w:hAnsiTheme="minorHAnsi" w:cstheme="minorHAnsi"/>
          <w:sz w:val="22"/>
          <w:szCs w:val="22"/>
        </w:rPr>
        <w:t>TRP and the serving PCI TRP.</w:t>
      </w:r>
    </w:p>
    <w:p w14:paraId="41C2F640" w14:textId="7F792286" w:rsidR="00A06255" w:rsidRDefault="00A06255" w:rsidP="00A06255">
      <w:pPr>
        <w:pStyle w:val="Proposal"/>
        <w:overflowPunct/>
        <w:autoSpaceDE/>
        <w:autoSpaceDN/>
        <w:adjustRightInd/>
        <w:spacing w:line="259" w:lineRule="auto"/>
        <w:textAlignment w:val="auto"/>
      </w:pPr>
      <w:bookmarkStart w:id="5" w:name="_Toc79091692"/>
      <w:r>
        <w:t xml:space="preserve">There are no limitations from </w:t>
      </w:r>
      <w:r>
        <w:rPr>
          <w:rFonts w:asciiTheme="minorHAnsi" w:hAnsiTheme="minorHAnsi" w:cstheme="minorHAnsi"/>
          <w:sz w:val="22"/>
          <w:szCs w:val="22"/>
        </w:rPr>
        <w:t>RAN2 point of view in terms of enabling simultaneous reception from the non-serving PCI TRP and the serving PCI TRP</w:t>
      </w:r>
      <w:r w:rsidRPr="00A04F49">
        <w:t>.</w:t>
      </w:r>
      <w:bookmarkEnd w:id="5"/>
    </w:p>
    <w:p w14:paraId="06D039B1" w14:textId="51720DF2" w:rsidR="00EF4C9E" w:rsidRPr="00EF4C9E" w:rsidRDefault="00F5531A" w:rsidP="00EF4C9E">
      <w:pPr>
        <w:rPr>
          <w:rFonts w:asciiTheme="minorHAnsi" w:hAnsiTheme="minorHAnsi" w:cstheme="minorHAnsi"/>
          <w:sz w:val="22"/>
          <w:szCs w:val="22"/>
        </w:rPr>
      </w:pPr>
      <w:r>
        <w:rPr>
          <w:rFonts w:asciiTheme="minorHAnsi" w:hAnsiTheme="minorHAnsi" w:cstheme="minorHAnsi"/>
          <w:sz w:val="22"/>
          <w:szCs w:val="22"/>
        </w:rPr>
        <w:t>The main change</w:t>
      </w:r>
      <w:r w:rsidR="00084174">
        <w:rPr>
          <w:rFonts w:asciiTheme="minorHAnsi" w:hAnsiTheme="minorHAnsi" w:cstheme="minorHAnsi"/>
          <w:sz w:val="22"/>
          <w:szCs w:val="22"/>
        </w:rPr>
        <w:t>s</w:t>
      </w:r>
      <w:r>
        <w:rPr>
          <w:rFonts w:asciiTheme="minorHAnsi" w:hAnsiTheme="minorHAnsi" w:cstheme="minorHAnsi"/>
          <w:sz w:val="22"/>
          <w:szCs w:val="22"/>
        </w:rPr>
        <w:t xml:space="preserve"> req</w:t>
      </w:r>
      <w:r w:rsidR="00EC5AF5">
        <w:rPr>
          <w:rFonts w:asciiTheme="minorHAnsi" w:hAnsiTheme="minorHAnsi" w:cstheme="minorHAnsi"/>
          <w:sz w:val="22"/>
          <w:szCs w:val="22"/>
        </w:rPr>
        <w:t xml:space="preserve">uired to enable the Rel-17 mTRP enhancements is to </w:t>
      </w:r>
      <w:r w:rsidR="00181769">
        <w:rPr>
          <w:rFonts w:asciiTheme="minorHAnsi" w:hAnsiTheme="minorHAnsi" w:cstheme="minorHAnsi"/>
          <w:sz w:val="22"/>
          <w:szCs w:val="22"/>
        </w:rPr>
        <w:t xml:space="preserve">have the </w:t>
      </w:r>
      <w:r w:rsidR="00763E22">
        <w:rPr>
          <w:rFonts w:asciiTheme="minorHAnsi" w:hAnsiTheme="minorHAnsi" w:cstheme="minorHAnsi"/>
          <w:sz w:val="22"/>
          <w:szCs w:val="22"/>
        </w:rPr>
        <w:t xml:space="preserve">additional PCI </w:t>
      </w:r>
      <w:r w:rsidR="00F564F6">
        <w:rPr>
          <w:rFonts w:asciiTheme="minorHAnsi" w:hAnsiTheme="minorHAnsi" w:cstheme="minorHAnsi"/>
          <w:sz w:val="22"/>
          <w:szCs w:val="22"/>
        </w:rPr>
        <w:t xml:space="preserve">(along with serving </w:t>
      </w:r>
      <w:r w:rsidR="009635FF">
        <w:rPr>
          <w:rFonts w:asciiTheme="minorHAnsi" w:hAnsiTheme="minorHAnsi" w:cstheme="minorHAnsi"/>
          <w:sz w:val="22"/>
          <w:szCs w:val="22"/>
        </w:rPr>
        <w:t xml:space="preserve">cell </w:t>
      </w:r>
      <w:r w:rsidR="00F564F6">
        <w:rPr>
          <w:rFonts w:asciiTheme="minorHAnsi" w:hAnsiTheme="minorHAnsi" w:cstheme="minorHAnsi"/>
          <w:sz w:val="22"/>
          <w:szCs w:val="22"/>
        </w:rPr>
        <w:t>PCI)</w:t>
      </w:r>
      <w:r w:rsidR="009635FF">
        <w:rPr>
          <w:rFonts w:asciiTheme="minorHAnsi" w:hAnsiTheme="minorHAnsi" w:cstheme="minorHAnsi"/>
          <w:sz w:val="22"/>
          <w:szCs w:val="22"/>
        </w:rPr>
        <w:t xml:space="preserve"> </w:t>
      </w:r>
      <w:r w:rsidR="00DF124D">
        <w:rPr>
          <w:rFonts w:asciiTheme="minorHAnsi" w:hAnsiTheme="minorHAnsi" w:cstheme="minorHAnsi"/>
          <w:sz w:val="22"/>
          <w:szCs w:val="22"/>
        </w:rPr>
        <w:t xml:space="preserve">in the CSI reporting configuration and in the TCI state configuration. </w:t>
      </w:r>
      <w:r w:rsidR="00F72DEA">
        <w:rPr>
          <w:rFonts w:asciiTheme="minorHAnsi" w:hAnsiTheme="minorHAnsi" w:cstheme="minorHAnsi"/>
          <w:sz w:val="22"/>
          <w:szCs w:val="22"/>
        </w:rPr>
        <w:t xml:space="preserve">In the RRC specification, a serving cell is </w:t>
      </w:r>
      <w:r w:rsidR="0042336F">
        <w:rPr>
          <w:rFonts w:asciiTheme="minorHAnsi" w:hAnsiTheme="minorHAnsi" w:cstheme="minorHAnsi"/>
          <w:sz w:val="22"/>
          <w:szCs w:val="22"/>
        </w:rPr>
        <w:t xml:space="preserve">not referenced using PCI+frequency information at every instance of referencing to the serving cell. Instead, </w:t>
      </w:r>
      <w:r w:rsidR="004141AA">
        <w:rPr>
          <w:rFonts w:asciiTheme="minorHAnsi" w:hAnsiTheme="minorHAnsi" w:cstheme="minorHAnsi"/>
          <w:sz w:val="22"/>
          <w:szCs w:val="22"/>
        </w:rPr>
        <w:t>a serving cell is</w:t>
      </w:r>
      <w:r w:rsidR="0042336F">
        <w:rPr>
          <w:rFonts w:asciiTheme="minorHAnsi" w:hAnsiTheme="minorHAnsi" w:cstheme="minorHAnsi"/>
          <w:sz w:val="22"/>
          <w:szCs w:val="22"/>
        </w:rPr>
        <w:t xml:space="preserve"> </w:t>
      </w:r>
      <w:r w:rsidR="00F72DEA">
        <w:rPr>
          <w:rFonts w:asciiTheme="minorHAnsi" w:hAnsiTheme="minorHAnsi" w:cstheme="minorHAnsi"/>
          <w:sz w:val="22"/>
          <w:szCs w:val="22"/>
        </w:rPr>
        <w:t xml:space="preserve">referenced using </w:t>
      </w:r>
      <w:r w:rsidR="00331048">
        <w:rPr>
          <w:rFonts w:asciiTheme="minorHAnsi" w:hAnsiTheme="minorHAnsi" w:cstheme="minorHAnsi"/>
          <w:sz w:val="22"/>
          <w:szCs w:val="22"/>
        </w:rPr>
        <w:t>a serving cell index</w:t>
      </w:r>
      <w:r w:rsidR="00DD4B50">
        <w:rPr>
          <w:rFonts w:asciiTheme="minorHAnsi" w:hAnsiTheme="minorHAnsi" w:cstheme="minorHAnsi"/>
          <w:sz w:val="22"/>
          <w:szCs w:val="22"/>
        </w:rPr>
        <w:t xml:space="preserve">. This reduces the number of bits required for encoding the </w:t>
      </w:r>
      <w:r w:rsidR="00E12517">
        <w:rPr>
          <w:rFonts w:asciiTheme="minorHAnsi" w:hAnsiTheme="minorHAnsi" w:cstheme="minorHAnsi"/>
          <w:sz w:val="22"/>
          <w:szCs w:val="22"/>
        </w:rPr>
        <w:t xml:space="preserve">information associated to that serving cell. Similarly, one could think of referencing the </w:t>
      </w:r>
      <w:r w:rsidR="004332DE">
        <w:rPr>
          <w:rFonts w:asciiTheme="minorHAnsi" w:hAnsiTheme="minorHAnsi" w:cstheme="minorHAnsi"/>
          <w:sz w:val="22"/>
          <w:szCs w:val="22"/>
        </w:rPr>
        <w:t>non-serving PCIs using a ‘non-serving cell index’</w:t>
      </w:r>
      <w:r w:rsidR="00BA254A">
        <w:rPr>
          <w:rFonts w:asciiTheme="minorHAnsi" w:hAnsiTheme="minorHAnsi" w:cstheme="minorHAnsi"/>
          <w:sz w:val="22"/>
          <w:szCs w:val="22"/>
        </w:rPr>
        <w:t xml:space="preserve"> as mentioned also above</w:t>
      </w:r>
      <w:r w:rsidR="00F51092">
        <w:rPr>
          <w:rFonts w:asciiTheme="minorHAnsi" w:hAnsiTheme="minorHAnsi" w:cstheme="minorHAnsi"/>
          <w:sz w:val="22"/>
          <w:szCs w:val="22"/>
        </w:rPr>
        <w:t xml:space="preserve">. </w:t>
      </w:r>
      <w:r w:rsidR="00BA254A">
        <w:rPr>
          <w:rFonts w:asciiTheme="minorHAnsi" w:hAnsiTheme="minorHAnsi" w:cstheme="minorHAnsi"/>
          <w:sz w:val="22"/>
          <w:szCs w:val="22"/>
        </w:rPr>
        <w:t>The index</w:t>
      </w:r>
      <w:r w:rsidR="005213EE">
        <w:rPr>
          <w:rFonts w:asciiTheme="minorHAnsi" w:hAnsiTheme="minorHAnsi" w:cstheme="minorHAnsi"/>
          <w:sz w:val="22"/>
          <w:szCs w:val="22"/>
        </w:rPr>
        <w:t xml:space="preserve"> could</w:t>
      </w:r>
      <w:r w:rsidR="00BA254A">
        <w:rPr>
          <w:rFonts w:asciiTheme="minorHAnsi" w:hAnsiTheme="minorHAnsi" w:cstheme="minorHAnsi"/>
          <w:sz w:val="22"/>
          <w:szCs w:val="22"/>
        </w:rPr>
        <w:t>(should)</w:t>
      </w:r>
      <w:r w:rsidR="005213EE">
        <w:rPr>
          <w:rFonts w:asciiTheme="minorHAnsi" w:hAnsiTheme="minorHAnsi" w:cstheme="minorHAnsi"/>
          <w:sz w:val="22"/>
          <w:szCs w:val="22"/>
        </w:rPr>
        <w:t xml:space="preserve"> be named better</w:t>
      </w:r>
      <w:r w:rsidR="00755F03">
        <w:rPr>
          <w:rFonts w:asciiTheme="minorHAnsi" w:hAnsiTheme="minorHAnsi" w:cstheme="minorHAnsi"/>
          <w:sz w:val="22"/>
          <w:szCs w:val="22"/>
        </w:rPr>
        <w:t xml:space="preserve"> to not to include term </w:t>
      </w:r>
      <w:r w:rsidR="0034546D">
        <w:rPr>
          <w:rFonts w:asciiTheme="minorHAnsi" w:hAnsiTheme="minorHAnsi" w:cstheme="minorHAnsi"/>
          <w:sz w:val="22"/>
          <w:szCs w:val="22"/>
        </w:rPr>
        <w:t>“</w:t>
      </w:r>
      <w:r w:rsidR="00755F03">
        <w:rPr>
          <w:rFonts w:asciiTheme="minorHAnsi" w:hAnsiTheme="minorHAnsi" w:cstheme="minorHAnsi"/>
          <w:sz w:val="22"/>
          <w:szCs w:val="22"/>
        </w:rPr>
        <w:t>cell</w:t>
      </w:r>
      <w:r w:rsidR="0034546D">
        <w:rPr>
          <w:rFonts w:asciiTheme="minorHAnsi" w:hAnsiTheme="minorHAnsi" w:cstheme="minorHAnsi"/>
          <w:sz w:val="22"/>
          <w:szCs w:val="22"/>
        </w:rPr>
        <w:t>”</w:t>
      </w:r>
      <w:r w:rsidR="00755F03">
        <w:rPr>
          <w:rFonts w:asciiTheme="minorHAnsi" w:hAnsiTheme="minorHAnsi" w:cstheme="minorHAnsi"/>
          <w:sz w:val="22"/>
          <w:szCs w:val="22"/>
        </w:rPr>
        <w:t xml:space="preserve"> even it is used here due to wide use of term </w:t>
      </w:r>
      <w:r w:rsidR="0034546D">
        <w:rPr>
          <w:rFonts w:asciiTheme="minorHAnsi" w:hAnsiTheme="minorHAnsi" w:cstheme="minorHAnsi"/>
          <w:sz w:val="22"/>
          <w:szCs w:val="22"/>
        </w:rPr>
        <w:t>“</w:t>
      </w:r>
      <w:r w:rsidR="00755F03">
        <w:rPr>
          <w:rFonts w:asciiTheme="minorHAnsi" w:hAnsiTheme="minorHAnsi" w:cstheme="minorHAnsi"/>
          <w:sz w:val="22"/>
          <w:szCs w:val="22"/>
        </w:rPr>
        <w:t>non-serving cell</w:t>
      </w:r>
      <w:r w:rsidR="0034546D">
        <w:rPr>
          <w:rFonts w:asciiTheme="minorHAnsi" w:hAnsiTheme="minorHAnsi" w:cstheme="minorHAnsi"/>
          <w:sz w:val="22"/>
          <w:szCs w:val="22"/>
        </w:rPr>
        <w:t>”</w:t>
      </w:r>
      <w:r w:rsidR="00EE16C4">
        <w:rPr>
          <w:rFonts w:asciiTheme="minorHAnsi" w:hAnsiTheme="minorHAnsi" w:cstheme="minorHAnsi"/>
          <w:sz w:val="22"/>
          <w:szCs w:val="22"/>
        </w:rPr>
        <w:t xml:space="preserve"> in this WI. </w:t>
      </w:r>
      <w:r w:rsidR="00F51092">
        <w:rPr>
          <w:rFonts w:asciiTheme="minorHAnsi" w:hAnsiTheme="minorHAnsi" w:cstheme="minorHAnsi"/>
          <w:sz w:val="22"/>
          <w:szCs w:val="22"/>
        </w:rPr>
        <w:t xml:space="preserve">The corresponding </w:t>
      </w:r>
      <w:r w:rsidR="007F7C46">
        <w:rPr>
          <w:rFonts w:asciiTheme="minorHAnsi" w:hAnsiTheme="minorHAnsi" w:cstheme="minorHAnsi"/>
          <w:sz w:val="22"/>
          <w:szCs w:val="22"/>
        </w:rPr>
        <w:t>list of non-serving PCIs can be configured in the servingCellConfig. This would be optimal in terms of reducing the signalling overhead.</w:t>
      </w:r>
      <w:r w:rsidR="00920269">
        <w:rPr>
          <w:rFonts w:asciiTheme="minorHAnsi" w:hAnsiTheme="minorHAnsi" w:cstheme="minorHAnsi"/>
          <w:sz w:val="22"/>
          <w:szCs w:val="22"/>
        </w:rPr>
        <w:t xml:space="preserve"> </w:t>
      </w:r>
      <w:r w:rsidR="00DF124D">
        <w:rPr>
          <w:rFonts w:asciiTheme="minorHAnsi" w:hAnsiTheme="minorHAnsi" w:cstheme="minorHAnsi"/>
          <w:sz w:val="22"/>
          <w:szCs w:val="22"/>
        </w:rPr>
        <w:t xml:space="preserve"> </w:t>
      </w:r>
    </w:p>
    <w:p w14:paraId="79636822" w14:textId="5AD54529" w:rsidR="006A69CE" w:rsidRPr="006A69CE" w:rsidRDefault="00687722" w:rsidP="006A69CE">
      <w:pPr>
        <w:pStyle w:val="Observation"/>
      </w:pPr>
      <w:bookmarkStart w:id="6" w:name="_Toc79091691"/>
      <w:r>
        <w:t xml:space="preserve">Referencing </w:t>
      </w:r>
      <w:r w:rsidR="00E53E16">
        <w:t xml:space="preserve">the </w:t>
      </w:r>
      <w:r w:rsidR="009E0E15">
        <w:rPr>
          <w:rFonts w:asciiTheme="minorHAnsi" w:hAnsiTheme="minorHAnsi" w:cstheme="minorHAnsi"/>
          <w:sz w:val="22"/>
          <w:szCs w:val="22"/>
        </w:rPr>
        <w:t>non-serving PCIs using a ‘non-serving cell index’</w:t>
      </w:r>
      <w:r w:rsidR="00150F9E">
        <w:rPr>
          <w:rFonts w:asciiTheme="minorHAnsi" w:hAnsiTheme="minorHAnsi" w:cstheme="minorHAnsi"/>
          <w:sz w:val="22"/>
          <w:szCs w:val="22"/>
        </w:rPr>
        <w:t xml:space="preserve"> at every referencing location instead of PCI+frequency information </w:t>
      </w:r>
      <w:r w:rsidR="000366ED">
        <w:rPr>
          <w:rFonts w:asciiTheme="minorHAnsi" w:hAnsiTheme="minorHAnsi" w:cstheme="minorHAnsi"/>
          <w:sz w:val="22"/>
          <w:szCs w:val="22"/>
        </w:rPr>
        <w:t xml:space="preserve">reduces the </w:t>
      </w:r>
      <w:r w:rsidR="008B7D68">
        <w:rPr>
          <w:rFonts w:asciiTheme="minorHAnsi" w:hAnsiTheme="minorHAnsi" w:cstheme="minorHAnsi"/>
          <w:sz w:val="22"/>
          <w:szCs w:val="22"/>
        </w:rPr>
        <w:t xml:space="preserve">number of bits required </w:t>
      </w:r>
      <w:r w:rsidR="006A69CE">
        <w:rPr>
          <w:rFonts w:asciiTheme="minorHAnsi" w:hAnsiTheme="minorHAnsi" w:cstheme="minorHAnsi"/>
          <w:sz w:val="22"/>
          <w:szCs w:val="22"/>
        </w:rPr>
        <w:t>for conveying the same information.</w:t>
      </w:r>
      <w:bookmarkEnd w:id="6"/>
      <w:r w:rsidR="00150F9E">
        <w:rPr>
          <w:rFonts w:asciiTheme="minorHAnsi" w:hAnsiTheme="minorHAnsi" w:cstheme="minorHAnsi"/>
          <w:sz w:val="22"/>
          <w:szCs w:val="22"/>
        </w:rPr>
        <w:t xml:space="preserve"> </w:t>
      </w:r>
    </w:p>
    <w:p w14:paraId="26050A9A" w14:textId="65E46A55" w:rsidR="00C40F43" w:rsidRPr="00F01420" w:rsidRDefault="00660FA7" w:rsidP="00F01420">
      <w:pPr>
        <w:rPr>
          <w:rFonts w:asciiTheme="minorHAnsi" w:hAnsiTheme="minorHAnsi" w:cstheme="minorHAnsi"/>
          <w:sz w:val="22"/>
          <w:szCs w:val="22"/>
        </w:rPr>
      </w:pPr>
      <w:r>
        <w:rPr>
          <w:rFonts w:asciiTheme="minorHAnsi" w:hAnsiTheme="minorHAnsi" w:cstheme="minorHAnsi"/>
          <w:sz w:val="22"/>
          <w:szCs w:val="22"/>
        </w:rPr>
        <w:lastRenderedPageBreak/>
        <w:t xml:space="preserve">Further, with the </w:t>
      </w:r>
      <w:r w:rsidR="008D12CA">
        <w:rPr>
          <w:rFonts w:asciiTheme="minorHAnsi" w:hAnsiTheme="minorHAnsi" w:cstheme="minorHAnsi"/>
          <w:sz w:val="22"/>
          <w:szCs w:val="22"/>
        </w:rPr>
        <w:t xml:space="preserve">inter-cell mTRP operation the UE starts receiving data from a PCI other than the serving cell PCI even before the UE </w:t>
      </w:r>
      <w:r w:rsidR="00651681">
        <w:rPr>
          <w:rFonts w:asciiTheme="minorHAnsi" w:hAnsiTheme="minorHAnsi" w:cstheme="minorHAnsi"/>
          <w:sz w:val="22"/>
          <w:szCs w:val="22"/>
        </w:rPr>
        <w:t xml:space="preserve">performs the reconfiguration with sync towards that PCI. In principle, one could see this as if the UE starts to get served from more than one PCI i.e., this could also impact the serving cell </w:t>
      </w:r>
      <w:r w:rsidR="004A3583">
        <w:rPr>
          <w:rFonts w:asciiTheme="minorHAnsi" w:hAnsiTheme="minorHAnsi" w:cstheme="minorHAnsi"/>
          <w:sz w:val="22"/>
          <w:szCs w:val="22"/>
        </w:rPr>
        <w:t>RRM related measurements</w:t>
      </w:r>
      <w:r w:rsidR="006272F5">
        <w:rPr>
          <w:rFonts w:asciiTheme="minorHAnsi" w:hAnsiTheme="minorHAnsi" w:cstheme="minorHAnsi"/>
          <w:sz w:val="22"/>
          <w:szCs w:val="22"/>
        </w:rPr>
        <w:t xml:space="preserve">. For example, one could define the </w:t>
      </w:r>
      <w:r w:rsidR="00271BEA">
        <w:rPr>
          <w:rFonts w:asciiTheme="minorHAnsi" w:hAnsiTheme="minorHAnsi" w:cstheme="minorHAnsi"/>
          <w:sz w:val="22"/>
          <w:szCs w:val="22"/>
        </w:rPr>
        <w:t>serving cell RRM measurements to be</w:t>
      </w:r>
      <w:r w:rsidR="006272F5">
        <w:rPr>
          <w:rFonts w:asciiTheme="minorHAnsi" w:hAnsiTheme="minorHAnsi" w:cstheme="minorHAnsi"/>
          <w:sz w:val="22"/>
          <w:szCs w:val="22"/>
        </w:rPr>
        <w:t xml:space="preserve"> </w:t>
      </w:r>
      <w:r w:rsidR="00271BEA">
        <w:rPr>
          <w:rFonts w:asciiTheme="minorHAnsi" w:hAnsiTheme="minorHAnsi" w:cstheme="minorHAnsi"/>
          <w:sz w:val="22"/>
          <w:szCs w:val="22"/>
        </w:rPr>
        <w:t xml:space="preserve">derived based on the </w:t>
      </w:r>
      <w:r w:rsidR="00883129">
        <w:rPr>
          <w:rFonts w:asciiTheme="minorHAnsi" w:hAnsiTheme="minorHAnsi" w:cstheme="minorHAnsi"/>
          <w:sz w:val="22"/>
          <w:szCs w:val="22"/>
        </w:rPr>
        <w:t xml:space="preserve">PCIs associated to the active TCI state configuration. However, this will introduce more work in Rel-17 and thus should be avoided. </w:t>
      </w:r>
    </w:p>
    <w:p w14:paraId="594F6C12" w14:textId="76807609" w:rsidR="002A7F5E" w:rsidRDefault="00F653CE" w:rsidP="002A7F5E">
      <w:pPr>
        <w:pStyle w:val="Proposal"/>
        <w:overflowPunct/>
        <w:autoSpaceDE/>
        <w:autoSpaceDN/>
        <w:adjustRightInd/>
        <w:spacing w:line="259" w:lineRule="auto"/>
        <w:textAlignment w:val="auto"/>
      </w:pPr>
      <w:bookmarkStart w:id="7" w:name="_Toc347823621"/>
      <w:bookmarkStart w:id="8" w:name="_Toc347824073"/>
      <w:bookmarkStart w:id="9" w:name="_Toc347824246"/>
      <w:bookmarkStart w:id="10" w:name="_Toc79091693"/>
      <w:r>
        <w:t>RRM measurements of the serving cell or the non-serving cell is not impacted</w:t>
      </w:r>
      <w:r w:rsidR="00B56E0A">
        <w:t xml:space="preserve"> in Rel-17</w:t>
      </w:r>
      <w:r w:rsidR="00AC1610" w:rsidRPr="00A04F49">
        <w:t>.</w:t>
      </w:r>
      <w:bookmarkEnd w:id="7"/>
      <w:bookmarkEnd w:id="8"/>
      <w:bookmarkEnd w:id="9"/>
      <w:bookmarkEnd w:id="10"/>
    </w:p>
    <w:p w14:paraId="6A83345D" w14:textId="77777777" w:rsidR="00042566" w:rsidRPr="00CE0424" w:rsidRDefault="00042566" w:rsidP="00042566">
      <w:pPr>
        <w:pStyle w:val="Heading1"/>
        <w:ind w:left="0" w:firstLine="0"/>
        <w:jc w:val="both"/>
      </w:pPr>
      <w:r w:rsidRPr="00CE0424">
        <w:t>Conclusion</w:t>
      </w:r>
    </w:p>
    <w:p w14:paraId="467CC261" w14:textId="77777777" w:rsidR="00042566" w:rsidRPr="00133580" w:rsidRDefault="00042566" w:rsidP="00042566">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2392D9EE" w14:textId="5D48BEEF" w:rsidR="0034546D" w:rsidRDefault="00042566">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79091688" w:history="1">
        <w:r w:rsidR="0034546D" w:rsidRPr="00AC73A7">
          <w:rPr>
            <w:rStyle w:val="Hyperlink"/>
            <w:noProof/>
          </w:rPr>
          <w:t>Observation 1</w:t>
        </w:r>
        <w:r w:rsidR="0034546D">
          <w:rPr>
            <w:rFonts w:asciiTheme="minorHAnsi" w:eastAsiaTheme="minorEastAsia" w:hAnsiTheme="minorHAnsi" w:cstheme="minorBidi"/>
            <w:b w:val="0"/>
            <w:noProof/>
            <w:sz w:val="22"/>
            <w:szCs w:val="22"/>
            <w:lang w:val="fi-FI" w:eastAsia="fi-FI"/>
          </w:rPr>
          <w:tab/>
        </w:r>
        <w:r w:rsidR="0034546D" w:rsidRPr="00AC73A7">
          <w:rPr>
            <w:rStyle w:val="Hyperlink"/>
            <w:noProof/>
          </w:rPr>
          <w:t xml:space="preserve">Based on Rel-16 mTRP enhancements, a UE is </w:t>
        </w:r>
        <w:r w:rsidR="0034546D" w:rsidRPr="00AC73A7">
          <w:rPr>
            <w:rStyle w:val="Hyperlink"/>
            <w:rFonts w:cstheme="minorHAnsi"/>
            <w:noProof/>
          </w:rPr>
          <w:t>able to perform simultaneous reception from two TRPs transmitting SSBs associated to the serving cell PCI</w:t>
        </w:r>
        <w:r w:rsidR="0034546D" w:rsidRPr="00AC73A7">
          <w:rPr>
            <w:rStyle w:val="Hyperlink"/>
            <w:noProof/>
          </w:rPr>
          <w:t>.</w:t>
        </w:r>
      </w:hyperlink>
    </w:p>
    <w:p w14:paraId="53BF5255" w14:textId="6D922BF7" w:rsidR="0034546D" w:rsidRDefault="008C29E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9091689" w:history="1">
        <w:r w:rsidR="0034546D" w:rsidRPr="00AC73A7">
          <w:rPr>
            <w:rStyle w:val="Hyperlink"/>
            <w:noProof/>
          </w:rPr>
          <w:t>Observation 2</w:t>
        </w:r>
        <w:r w:rsidR="0034546D">
          <w:rPr>
            <w:rFonts w:asciiTheme="minorHAnsi" w:eastAsiaTheme="minorEastAsia" w:hAnsiTheme="minorHAnsi" w:cstheme="minorBidi"/>
            <w:b w:val="0"/>
            <w:noProof/>
            <w:sz w:val="22"/>
            <w:szCs w:val="22"/>
            <w:lang w:val="fi-FI" w:eastAsia="fi-FI"/>
          </w:rPr>
          <w:tab/>
        </w:r>
        <w:r w:rsidR="0034546D" w:rsidRPr="00AC73A7">
          <w:rPr>
            <w:rStyle w:val="Hyperlink"/>
            <w:noProof/>
          </w:rPr>
          <w:t xml:space="preserve">The changes to the WID points at extending the Rel-16 mTRP concepts with enhancing </w:t>
        </w:r>
        <w:r w:rsidR="0034546D" w:rsidRPr="00AC73A7">
          <w:rPr>
            <w:rStyle w:val="Hyperlink"/>
            <w:rFonts w:cstheme="minorHAnsi"/>
            <w:noProof/>
          </w:rPr>
          <w:t>L1-measurement reports of an SSB belonging to a different PCI than the serving cell PCI and TCI state configuration with QCL possibility to a SSB belonging to a different PCI than the serving cell PCI</w:t>
        </w:r>
        <w:r w:rsidR="0034546D" w:rsidRPr="00AC73A7">
          <w:rPr>
            <w:rStyle w:val="Hyperlink"/>
            <w:noProof/>
          </w:rPr>
          <w:t>.</w:t>
        </w:r>
      </w:hyperlink>
    </w:p>
    <w:p w14:paraId="6DC65CAB" w14:textId="6CCF7955" w:rsidR="0034546D" w:rsidRDefault="008C29E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9091690" w:history="1">
        <w:r w:rsidR="0034546D" w:rsidRPr="00AC73A7">
          <w:rPr>
            <w:rStyle w:val="Hyperlink"/>
            <w:noProof/>
          </w:rPr>
          <w:t>Observation 3</w:t>
        </w:r>
        <w:r w:rsidR="0034546D">
          <w:rPr>
            <w:rFonts w:asciiTheme="minorHAnsi" w:eastAsiaTheme="minorEastAsia" w:hAnsiTheme="minorHAnsi" w:cstheme="minorBidi"/>
            <w:b w:val="0"/>
            <w:noProof/>
            <w:sz w:val="22"/>
            <w:szCs w:val="22"/>
            <w:lang w:val="fi-FI" w:eastAsia="fi-FI"/>
          </w:rPr>
          <w:tab/>
        </w:r>
        <w:r w:rsidR="0034546D" w:rsidRPr="00AC73A7">
          <w:rPr>
            <w:rStyle w:val="Hyperlink"/>
            <w:noProof/>
          </w:rPr>
          <w:t>Configuring SSBs associated to more than one non serving cell PCI as part of the CSI reporting configuration in needed to aid the network in identifying the optimal TCI state associated to a SSB belonging to non-serving PCI.</w:t>
        </w:r>
      </w:hyperlink>
    </w:p>
    <w:p w14:paraId="6DDE0B7F" w14:textId="275F4534" w:rsidR="0034546D" w:rsidRDefault="008C29E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9091691" w:history="1">
        <w:r w:rsidR="0034546D" w:rsidRPr="00AC73A7">
          <w:rPr>
            <w:rStyle w:val="Hyperlink"/>
            <w:noProof/>
          </w:rPr>
          <w:t>Observation 4</w:t>
        </w:r>
        <w:r w:rsidR="0034546D">
          <w:rPr>
            <w:rFonts w:asciiTheme="minorHAnsi" w:eastAsiaTheme="minorEastAsia" w:hAnsiTheme="minorHAnsi" w:cstheme="minorBidi"/>
            <w:b w:val="0"/>
            <w:noProof/>
            <w:sz w:val="22"/>
            <w:szCs w:val="22"/>
            <w:lang w:val="fi-FI" w:eastAsia="fi-FI"/>
          </w:rPr>
          <w:tab/>
        </w:r>
        <w:r w:rsidR="0034546D" w:rsidRPr="00AC73A7">
          <w:rPr>
            <w:rStyle w:val="Hyperlink"/>
            <w:noProof/>
          </w:rPr>
          <w:t xml:space="preserve">Referencing the </w:t>
        </w:r>
        <w:r w:rsidR="0034546D" w:rsidRPr="00AC73A7">
          <w:rPr>
            <w:rStyle w:val="Hyperlink"/>
            <w:rFonts w:cstheme="minorHAnsi"/>
            <w:noProof/>
          </w:rPr>
          <w:t>non-serving PCIs using a ‘non-serving cell index’ at every referencing location instead of PCI+frequency information reduces the number of bits required for conveying the same information.</w:t>
        </w:r>
      </w:hyperlink>
    </w:p>
    <w:p w14:paraId="34FE3CF5" w14:textId="7A6BFF3E" w:rsidR="006243A4" w:rsidRPr="008043E4" w:rsidRDefault="00042566" w:rsidP="006243A4">
      <w:pPr>
        <w:pStyle w:val="BodyText"/>
        <w:rPr>
          <w:lang w:val="en-US"/>
        </w:rPr>
      </w:pPr>
      <w:r>
        <w:rPr>
          <w:b/>
          <w:bCs/>
        </w:rPr>
        <w:fldChar w:fldCharType="end"/>
      </w:r>
      <w:r w:rsidR="006243A4" w:rsidRPr="006243A4">
        <w:rPr>
          <w:lang w:val="en-US"/>
        </w:rPr>
        <w:t xml:space="preserve"> </w:t>
      </w:r>
      <w:r w:rsidR="006243A4" w:rsidRPr="008043E4">
        <w:rPr>
          <w:lang w:val="en-US"/>
        </w:rPr>
        <w:t>Based on the discussion in the previous sections we propose the following:</w:t>
      </w:r>
    </w:p>
    <w:p w14:paraId="095CFDB1" w14:textId="01C85F14" w:rsidR="0034546D" w:rsidRDefault="006243A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79091692" w:history="1">
        <w:r w:rsidR="0034546D" w:rsidRPr="006047AE">
          <w:rPr>
            <w:rStyle w:val="Hyperlink"/>
            <w:noProof/>
          </w:rPr>
          <w:t>Proposal 1</w:t>
        </w:r>
        <w:r w:rsidR="0034546D">
          <w:rPr>
            <w:rFonts w:asciiTheme="minorHAnsi" w:eastAsiaTheme="minorEastAsia" w:hAnsiTheme="minorHAnsi" w:cstheme="minorBidi"/>
            <w:b w:val="0"/>
            <w:noProof/>
            <w:sz w:val="22"/>
            <w:szCs w:val="22"/>
            <w:lang w:val="fi-FI" w:eastAsia="fi-FI"/>
          </w:rPr>
          <w:tab/>
        </w:r>
        <w:r w:rsidR="0034546D" w:rsidRPr="006047AE">
          <w:rPr>
            <w:rStyle w:val="Hyperlink"/>
            <w:noProof/>
          </w:rPr>
          <w:t xml:space="preserve">There are no limitations from </w:t>
        </w:r>
        <w:r w:rsidR="0034546D" w:rsidRPr="006047AE">
          <w:rPr>
            <w:rStyle w:val="Hyperlink"/>
            <w:rFonts w:cstheme="minorHAnsi"/>
            <w:noProof/>
          </w:rPr>
          <w:t>RAN2 point of view in terms of enabling simultaneous reception from the non-serving PCI TRP and the serving PCI TRP</w:t>
        </w:r>
        <w:r w:rsidR="0034546D" w:rsidRPr="006047AE">
          <w:rPr>
            <w:rStyle w:val="Hyperlink"/>
            <w:noProof/>
          </w:rPr>
          <w:t>.</w:t>
        </w:r>
      </w:hyperlink>
    </w:p>
    <w:p w14:paraId="4F7D27CC" w14:textId="76C4CDF7" w:rsidR="0034546D" w:rsidRDefault="008C29E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9091693" w:history="1">
        <w:r w:rsidR="0034546D" w:rsidRPr="006047AE">
          <w:rPr>
            <w:rStyle w:val="Hyperlink"/>
            <w:noProof/>
          </w:rPr>
          <w:t>Proposal 2</w:t>
        </w:r>
        <w:r w:rsidR="0034546D">
          <w:rPr>
            <w:rFonts w:asciiTheme="minorHAnsi" w:eastAsiaTheme="minorEastAsia" w:hAnsiTheme="minorHAnsi" w:cstheme="minorBidi"/>
            <w:b w:val="0"/>
            <w:noProof/>
            <w:sz w:val="22"/>
            <w:szCs w:val="22"/>
            <w:lang w:val="fi-FI" w:eastAsia="fi-FI"/>
          </w:rPr>
          <w:tab/>
        </w:r>
        <w:r w:rsidR="0034546D" w:rsidRPr="006047AE">
          <w:rPr>
            <w:rStyle w:val="Hyperlink"/>
            <w:noProof/>
          </w:rPr>
          <w:t>RRM measurements of the serving cell or the non-serving cell is not impacted in Rel-17.</w:t>
        </w:r>
      </w:hyperlink>
    </w:p>
    <w:p w14:paraId="5AB041AD" w14:textId="0F6C954E" w:rsidR="00C01F33" w:rsidRPr="00CE0424" w:rsidRDefault="006243A4" w:rsidP="006243A4">
      <w:r>
        <w:rPr>
          <w:b/>
          <w:bCs/>
        </w:rPr>
        <w:fldChar w:fldCharType="end"/>
      </w:r>
    </w:p>
    <w:p w14:paraId="36D47752" w14:textId="77777777" w:rsidR="00F507D1" w:rsidRPr="00CE0424" w:rsidRDefault="00F507D1" w:rsidP="00CE0424">
      <w:pPr>
        <w:pStyle w:val="Heading1"/>
      </w:pPr>
      <w:bookmarkStart w:id="11" w:name="_In-sequence_SDU_delivery"/>
      <w:bookmarkEnd w:id="11"/>
      <w:r w:rsidRPr="00CE0424">
        <w:t>References</w:t>
      </w:r>
    </w:p>
    <w:p w14:paraId="0FF246BB" w14:textId="29EB0A79" w:rsidR="005F3025" w:rsidRDefault="00E91725" w:rsidP="00311702">
      <w:pPr>
        <w:pStyle w:val="Reference"/>
      </w:pPr>
      <w:bookmarkStart w:id="12" w:name="_Ref68178044"/>
      <w:bookmarkStart w:id="13" w:name="_Ref174151459"/>
      <w:bookmarkStart w:id="14" w:name="_Ref189809556"/>
      <w:r>
        <w:t>RP-211586</w:t>
      </w:r>
      <w:r w:rsidR="005F3025" w:rsidRPr="00CE0424">
        <w:t xml:space="preserve">, </w:t>
      </w:r>
      <w:r w:rsidRPr="00E91725">
        <w:t>Revised WID: Further enhancements on MIMO for NR</w:t>
      </w:r>
      <w:r w:rsidR="005F3025" w:rsidRPr="00CE0424">
        <w:t xml:space="preserve">, </w:t>
      </w:r>
      <w:r>
        <w:t>Samsung</w:t>
      </w:r>
      <w:r w:rsidR="005F3025" w:rsidRPr="00CE0424">
        <w:t xml:space="preserve">, </w:t>
      </w:r>
      <w:r w:rsidR="008E2B5C">
        <w:t>R</w:t>
      </w:r>
      <w:r w:rsidR="00524841">
        <w:t>AN</w:t>
      </w:r>
      <w:r>
        <w:t>P</w:t>
      </w:r>
      <w:r w:rsidR="008E2B5C">
        <w:t>#</w:t>
      </w:r>
      <w:r>
        <w:t>92</w:t>
      </w:r>
      <w:r w:rsidR="008E2B5C">
        <w:t>-</w:t>
      </w:r>
      <w:r w:rsidR="00524841">
        <w:t>e</w:t>
      </w:r>
      <w:r w:rsidR="005F3025" w:rsidRPr="00CE0424">
        <w:t xml:space="preserve">, </w:t>
      </w:r>
      <w:r>
        <w:t>June</w:t>
      </w:r>
      <w:r w:rsidR="00473316">
        <w:t xml:space="preserve"> 2021</w:t>
      </w:r>
      <w:bookmarkEnd w:id="12"/>
    </w:p>
    <w:p w14:paraId="3859C51F" w14:textId="68748E05" w:rsidR="00250FE5" w:rsidRPr="00CE0424" w:rsidRDefault="00F45074" w:rsidP="00FE5251">
      <w:pPr>
        <w:pStyle w:val="Reference"/>
      </w:pPr>
      <w:bookmarkStart w:id="15" w:name="_Ref78956182"/>
      <w:r>
        <w:t>R4-21</w:t>
      </w:r>
      <w:r w:rsidR="00250FE5">
        <w:t xml:space="preserve">08356, </w:t>
      </w:r>
      <w:r w:rsidR="00250FE5" w:rsidRPr="0034546D">
        <w:rPr>
          <w:rFonts w:cs="Arial"/>
        </w:rPr>
        <w:t>Reply to RAN1 LS on L1/L2-Centric Inter-Cell Mobility, RAN4#99-e, May 2021</w:t>
      </w:r>
      <w:bookmarkEnd w:id="15"/>
    </w:p>
    <w:bookmarkEnd w:id="13"/>
    <w:bookmarkEnd w:id="14"/>
    <w:p w14:paraId="205EC32A"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D3EE2" w14:textId="77777777" w:rsidR="00335918" w:rsidRDefault="00335918">
      <w:r>
        <w:separator/>
      </w:r>
    </w:p>
  </w:endnote>
  <w:endnote w:type="continuationSeparator" w:id="0">
    <w:p w14:paraId="19B04D0C" w14:textId="77777777" w:rsidR="00335918" w:rsidRDefault="00335918">
      <w:r>
        <w:continuationSeparator/>
      </w:r>
    </w:p>
  </w:endnote>
  <w:endnote w:type="continuationNotice" w:id="1">
    <w:p w14:paraId="5F3148A9" w14:textId="77777777" w:rsidR="00335918" w:rsidRDefault="00335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B3778" w14:textId="77777777" w:rsidR="00335918" w:rsidRDefault="00335918">
      <w:r>
        <w:separator/>
      </w:r>
    </w:p>
  </w:footnote>
  <w:footnote w:type="continuationSeparator" w:id="0">
    <w:p w14:paraId="4FFDFFCD" w14:textId="77777777" w:rsidR="00335918" w:rsidRDefault="00335918">
      <w:r>
        <w:continuationSeparator/>
      </w:r>
    </w:p>
  </w:footnote>
  <w:footnote w:type="continuationNotice" w:id="1">
    <w:p w14:paraId="06C4AA2D" w14:textId="77777777" w:rsidR="00335918" w:rsidRDefault="00335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8"/>
  </w:num>
  <w:num w:numId="18">
    <w:abstractNumId w:val="11"/>
  </w:num>
  <w:num w:numId="19">
    <w:abstractNumId w:val="6"/>
  </w:num>
  <w:num w:numId="20">
    <w:abstractNumId w:val="31"/>
  </w:num>
  <w:num w:numId="21">
    <w:abstractNumId w:val="16"/>
  </w:num>
  <w:num w:numId="22">
    <w:abstractNumId w:val="30"/>
  </w:num>
  <w:num w:numId="23">
    <w:abstractNumId w:val="29"/>
  </w:num>
  <w:num w:numId="24">
    <w:abstractNumId w:val="27"/>
  </w:num>
  <w:num w:numId="25">
    <w:abstractNumId w:val="4"/>
  </w:num>
  <w:num w:numId="26">
    <w:abstractNumId w:val="10"/>
  </w:num>
  <w:num w:numId="27">
    <w:abstractNumId w:val="12"/>
  </w:num>
  <w:num w:numId="28">
    <w:abstractNumId w:val="5"/>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0D2E"/>
    <w:rsid w:val="00002A37"/>
    <w:rsid w:val="0000404A"/>
    <w:rsid w:val="0000564C"/>
    <w:rsid w:val="00006446"/>
    <w:rsid w:val="00006896"/>
    <w:rsid w:val="00007CDC"/>
    <w:rsid w:val="00007EFE"/>
    <w:rsid w:val="00011B28"/>
    <w:rsid w:val="00015D15"/>
    <w:rsid w:val="0002564D"/>
    <w:rsid w:val="00025ECA"/>
    <w:rsid w:val="00025F75"/>
    <w:rsid w:val="000325B8"/>
    <w:rsid w:val="00034C15"/>
    <w:rsid w:val="0003620D"/>
    <w:rsid w:val="000366ED"/>
    <w:rsid w:val="00036BA1"/>
    <w:rsid w:val="000422E2"/>
    <w:rsid w:val="00042566"/>
    <w:rsid w:val="00042F22"/>
    <w:rsid w:val="000444EF"/>
    <w:rsid w:val="0004611C"/>
    <w:rsid w:val="0005267D"/>
    <w:rsid w:val="00052A07"/>
    <w:rsid w:val="000534E3"/>
    <w:rsid w:val="0005606A"/>
    <w:rsid w:val="0005637C"/>
    <w:rsid w:val="00056EB7"/>
    <w:rsid w:val="00057117"/>
    <w:rsid w:val="000616E7"/>
    <w:rsid w:val="00063146"/>
    <w:rsid w:val="0006487E"/>
    <w:rsid w:val="00065B7A"/>
    <w:rsid w:val="00065E1A"/>
    <w:rsid w:val="00074217"/>
    <w:rsid w:val="00075DCB"/>
    <w:rsid w:val="00077E5F"/>
    <w:rsid w:val="0008036A"/>
    <w:rsid w:val="00080AF1"/>
    <w:rsid w:val="00081AE6"/>
    <w:rsid w:val="00081E56"/>
    <w:rsid w:val="00084174"/>
    <w:rsid w:val="00084EBB"/>
    <w:rsid w:val="000855EB"/>
    <w:rsid w:val="000856AF"/>
    <w:rsid w:val="00085B52"/>
    <w:rsid w:val="000866F2"/>
    <w:rsid w:val="000871F0"/>
    <w:rsid w:val="0009009F"/>
    <w:rsid w:val="00091557"/>
    <w:rsid w:val="000924C1"/>
    <w:rsid w:val="000924F0"/>
    <w:rsid w:val="00093474"/>
    <w:rsid w:val="00094325"/>
    <w:rsid w:val="0009510F"/>
    <w:rsid w:val="00095EF4"/>
    <w:rsid w:val="000A1B7B"/>
    <w:rsid w:val="000A4F44"/>
    <w:rsid w:val="000A56F2"/>
    <w:rsid w:val="000A6E18"/>
    <w:rsid w:val="000B2719"/>
    <w:rsid w:val="000B2808"/>
    <w:rsid w:val="000B3A8F"/>
    <w:rsid w:val="000B4AB9"/>
    <w:rsid w:val="000B58C3"/>
    <w:rsid w:val="000B61E9"/>
    <w:rsid w:val="000C0764"/>
    <w:rsid w:val="000C14CE"/>
    <w:rsid w:val="000C165A"/>
    <w:rsid w:val="000C2E19"/>
    <w:rsid w:val="000C42C7"/>
    <w:rsid w:val="000C4414"/>
    <w:rsid w:val="000D0D07"/>
    <w:rsid w:val="000D1CA3"/>
    <w:rsid w:val="000D4797"/>
    <w:rsid w:val="000E0527"/>
    <w:rsid w:val="000E1E92"/>
    <w:rsid w:val="000E2505"/>
    <w:rsid w:val="000E700C"/>
    <w:rsid w:val="000F06D6"/>
    <w:rsid w:val="000F0EB1"/>
    <w:rsid w:val="000F1106"/>
    <w:rsid w:val="000F3BE9"/>
    <w:rsid w:val="000F3F6C"/>
    <w:rsid w:val="000F5A35"/>
    <w:rsid w:val="000F6DF3"/>
    <w:rsid w:val="001005FF"/>
    <w:rsid w:val="00104083"/>
    <w:rsid w:val="001062FB"/>
    <w:rsid w:val="001063E6"/>
    <w:rsid w:val="001069A0"/>
    <w:rsid w:val="001103ED"/>
    <w:rsid w:val="00113CF4"/>
    <w:rsid w:val="001153EA"/>
    <w:rsid w:val="00115643"/>
    <w:rsid w:val="00116765"/>
    <w:rsid w:val="00117489"/>
    <w:rsid w:val="001219F5"/>
    <w:rsid w:val="00121A20"/>
    <w:rsid w:val="0012377F"/>
    <w:rsid w:val="00124314"/>
    <w:rsid w:val="00126B4A"/>
    <w:rsid w:val="001275CD"/>
    <w:rsid w:val="00131E74"/>
    <w:rsid w:val="00132FD0"/>
    <w:rsid w:val="00133580"/>
    <w:rsid w:val="0013382F"/>
    <w:rsid w:val="001344C0"/>
    <w:rsid w:val="001346FA"/>
    <w:rsid w:val="00135252"/>
    <w:rsid w:val="00135385"/>
    <w:rsid w:val="00137AB5"/>
    <w:rsid w:val="00137F0B"/>
    <w:rsid w:val="0014296F"/>
    <w:rsid w:val="00150F9E"/>
    <w:rsid w:val="00151031"/>
    <w:rsid w:val="00151E23"/>
    <w:rsid w:val="001526E0"/>
    <w:rsid w:val="001551B5"/>
    <w:rsid w:val="00156D53"/>
    <w:rsid w:val="001603FB"/>
    <w:rsid w:val="00160EAD"/>
    <w:rsid w:val="00162DBF"/>
    <w:rsid w:val="001659C1"/>
    <w:rsid w:val="00165EAB"/>
    <w:rsid w:val="00173A8E"/>
    <w:rsid w:val="0017502C"/>
    <w:rsid w:val="001751B6"/>
    <w:rsid w:val="00176D5E"/>
    <w:rsid w:val="0018127B"/>
    <w:rsid w:val="0018143F"/>
    <w:rsid w:val="00181769"/>
    <w:rsid w:val="00181FF8"/>
    <w:rsid w:val="001821D9"/>
    <w:rsid w:val="0018389C"/>
    <w:rsid w:val="00184D8D"/>
    <w:rsid w:val="0018682D"/>
    <w:rsid w:val="00190AC1"/>
    <w:rsid w:val="0019341A"/>
    <w:rsid w:val="00193600"/>
    <w:rsid w:val="00197DF9"/>
    <w:rsid w:val="001A0AB9"/>
    <w:rsid w:val="001A109B"/>
    <w:rsid w:val="001A1987"/>
    <w:rsid w:val="001A2564"/>
    <w:rsid w:val="001A2936"/>
    <w:rsid w:val="001A6173"/>
    <w:rsid w:val="001A6CBA"/>
    <w:rsid w:val="001B0D97"/>
    <w:rsid w:val="001B5A5D"/>
    <w:rsid w:val="001C1C05"/>
    <w:rsid w:val="001C1CE5"/>
    <w:rsid w:val="001C3D2A"/>
    <w:rsid w:val="001C46BD"/>
    <w:rsid w:val="001C6B31"/>
    <w:rsid w:val="001C7B90"/>
    <w:rsid w:val="001D51BA"/>
    <w:rsid w:val="001D53E7"/>
    <w:rsid w:val="001D6342"/>
    <w:rsid w:val="001D6D53"/>
    <w:rsid w:val="001E58E2"/>
    <w:rsid w:val="001E7AED"/>
    <w:rsid w:val="001F3916"/>
    <w:rsid w:val="001F54C5"/>
    <w:rsid w:val="001F662C"/>
    <w:rsid w:val="001F7074"/>
    <w:rsid w:val="001F721B"/>
    <w:rsid w:val="00200490"/>
    <w:rsid w:val="00200D6F"/>
    <w:rsid w:val="00201F3A"/>
    <w:rsid w:val="0020216C"/>
    <w:rsid w:val="002032CC"/>
    <w:rsid w:val="00203F96"/>
    <w:rsid w:val="00204D74"/>
    <w:rsid w:val="0020525F"/>
    <w:rsid w:val="002069B2"/>
    <w:rsid w:val="00206DC4"/>
    <w:rsid w:val="00207FA3"/>
    <w:rsid w:val="00214DA8"/>
    <w:rsid w:val="00215423"/>
    <w:rsid w:val="002158FA"/>
    <w:rsid w:val="00220600"/>
    <w:rsid w:val="0022095B"/>
    <w:rsid w:val="002209EC"/>
    <w:rsid w:val="002224DB"/>
    <w:rsid w:val="00223FCB"/>
    <w:rsid w:val="002252C3"/>
    <w:rsid w:val="00225C54"/>
    <w:rsid w:val="00230765"/>
    <w:rsid w:val="00230D18"/>
    <w:rsid w:val="002319E4"/>
    <w:rsid w:val="00231EBA"/>
    <w:rsid w:val="00235632"/>
    <w:rsid w:val="00235872"/>
    <w:rsid w:val="00236558"/>
    <w:rsid w:val="00237C27"/>
    <w:rsid w:val="00241559"/>
    <w:rsid w:val="002435B3"/>
    <w:rsid w:val="00243D07"/>
    <w:rsid w:val="002458EB"/>
    <w:rsid w:val="002500C8"/>
    <w:rsid w:val="0025058C"/>
    <w:rsid w:val="00250FE5"/>
    <w:rsid w:val="00256D67"/>
    <w:rsid w:val="00257543"/>
    <w:rsid w:val="002617E7"/>
    <w:rsid w:val="002626E5"/>
    <w:rsid w:val="00264228"/>
    <w:rsid w:val="00264334"/>
    <w:rsid w:val="0026473E"/>
    <w:rsid w:val="00265980"/>
    <w:rsid w:val="00265E7E"/>
    <w:rsid w:val="00266214"/>
    <w:rsid w:val="00267C83"/>
    <w:rsid w:val="0027144F"/>
    <w:rsid w:val="00271813"/>
    <w:rsid w:val="00271BEA"/>
    <w:rsid w:val="00271D4B"/>
    <w:rsid w:val="00271F3A"/>
    <w:rsid w:val="00273278"/>
    <w:rsid w:val="002737F4"/>
    <w:rsid w:val="002805F5"/>
    <w:rsid w:val="00280751"/>
    <w:rsid w:val="0028280A"/>
    <w:rsid w:val="00283487"/>
    <w:rsid w:val="00286ACD"/>
    <w:rsid w:val="00287838"/>
    <w:rsid w:val="002907B5"/>
    <w:rsid w:val="00292EB7"/>
    <w:rsid w:val="00294AD4"/>
    <w:rsid w:val="0029513B"/>
    <w:rsid w:val="0029590D"/>
    <w:rsid w:val="00296227"/>
    <w:rsid w:val="0029649B"/>
    <w:rsid w:val="00296F44"/>
    <w:rsid w:val="0029777D"/>
    <w:rsid w:val="002A055E"/>
    <w:rsid w:val="002A1D4E"/>
    <w:rsid w:val="002A2331"/>
    <w:rsid w:val="002A2869"/>
    <w:rsid w:val="002A7F5E"/>
    <w:rsid w:val="002B0813"/>
    <w:rsid w:val="002B24D6"/>
    <w:rsid w:val="002B3256"/>
    <w:rsid w:val="002B3F91"/>
    <w:rsid w:val="002C41E6"/>
    <w:rsid w:val="002C63E2"/>
    <w:rsid w:val="002D071A"/>
    <w:rsid w:val="002D193C"/>
    <w:rsid w:val="002D34B2"/>
    <w:rsid w:val="002D48B0"/>
    <w:rsid w:val="002D5B37"/>
    <w:rsid w:val="002D7637"/>
    <w:rsid w:val="002E17F2"/>
    <w:rsid w:val="002E1D94"/>
    <w:rsid w:val="002E22B5"/>
    <w:rsid w:val="002E3EE1"/>
    <w:rsid w:val="002E5303"/>
    <w:rsid w:val="002E7CAE"/>
    <w:rsid w:val="002F2771"/>
    <w:rsid w:val="002F2BC6"/>
    <w:rsid w:val="002F37A9"/>
    <w:rsid w:val="00301CE6"/>
    <w:rsid w:val="0030256B"/>
    <w:rsid w:val="0030501F"/>
    <w:rsid w:val="00307BA1"/>
    <w:rsid w:val="00311702"/>
    <w:rsid w:val="00311E82"/>
    <w:rsid w:val="00313FD6"/>
    <w:rsid w:val="003143BD"/>
    <w:rsid w:val="00315363"/>
    <w:rsid w:val="00317CF0"/>
    <w:rsid w:val="003203ED"/>
    <w:rsid w:val="00322C9F"/>
    <w:rsid w:val="00324D23"/>
    <w:rsid w:val="00326A2E"/>
    <w:rsid w:val="00331048"/>
    <w:rsid w:val="00331751"/>
    <w:rsid w:val="00334579"/>
    <w:rsid w:val="00335858"/>
    <w:rsid w:val="00335918"/>
    <w:rsid w:val="00336BDA"/>
    <w:rsid w:val="00342BD7"/>
    <w:rsid w:val="00344CBA"/>
    <w:rsid w:val="0034546D"/>
    <w:rsid w:val="00346DB5"/>
    <w:rsid w:val="003477B1"/>
    <w:rsid w:val="00357380"/>
    <w:rsid w:val="003602D9"/>
    <w:rsid w:val="003604CE"/>
    <w:rsid w:val="00360E8F"/>
    <w:rsid w:val="00367F10"/>
    <w:rsid w:val="00370E47"/>
    <w:rsid w:val="0037132F"/>
    <w:rsid w:val="003742AC"/>
    <w:rsid w:val="00377CE1"/>
    <w:rsid w:val="00381E73"/>
    <w:rsid w:val="00382A1A"/>
    <w:rsid w:val="00385BF0"/>
    <w:rsid w:val="00386DC1"/>
    <w:rsid w:val="003911BD"/>
    <w:rsid w:val="00391E2F"/>
    <w:rsid w:val="003939FF"/>
    <w:rsid w:val="00395CB0"/>
    <w:rsid w:val="00396626"/>
    <w:rsid w:val="003A2223"/>
    <w:rsid w:val="003A2A0F"/>
    <w:rsid w:val="003A45A1"/>
    <w:rsid w:val="003A5B0A"/>
    <w:rsid w:val="003A6BAC"/>
    <w:rsid w:val="003A70A4"/>
    <w:rsid w:val="003A7776"/>
    <w:rsid w:val="003A7EF3"/>
    <w:rsid w:val="003B159C"/>
    <w:rsid w:val="003B369F"/>
    <w:rsid w:val="003B36A3"/>
    <w:rsid w:val="003B60A0"/>
    <w:rsid w:val="003B64BB"/>
    <w:rsid w:val="003B7FE5"/>
    <w:rsid w:val="003C0393"/>
    <w:rsid w:val="003C1173"/>
    <w:rsid w:val="003C11C8"/>
    <w:rsid w:val="003C1518"/>
    <w:rsid w:val="003C1D2B"/>
    <w:rsid w:val="003C2702"/>
    <w:rsid w:val="003C2760"/>
    <w:rsid w:val="003C7806"/>
    <w:rsid w:val="003D109F"/>
    <w:rsid w:val="003D1DBF"/>
    <w:rsid w:val="003D2478"/>
    <w:rsid w:val="003D3671"/>
    <w:rsid w:val="003D3C45"/>
    <w:rsid w:val="003D5B1F"/>
    <w:rsid w:val="003E15FA"/>
    <w:rsid w:val="003E31CF"/>
    <w:rsid w:val="003E33E2"/>
    <w:rsid w:val="003E55E4"/>
    <w:rsid w:val="003E74E3"/>
    <w:rsid w:val="003F05C7"/>
    <w:rsid w:val="003F2CD4"/>
    <w:rsid w:val="003F6BBE"/>
    <w:rsid w:val="003F7CD7"/>
    <w:rsid w:val="004000E8"/>
    <w:rsid w:val="004022E8"/>
    <w:rsid w:val="00402E2B"/>
    <w:rsid w:val="0040512B"/>
    <w:rsid w:val="00405CA5"/>
    <w:rsid w:val="00407BFA"/>
    <w:rsid w:val="00407CD3"/>
    <w:rsid w:val="00410134"/>
    <w:rsid w:val="00410B72"/>
    <w:rsid w:val="00410F18"/>
    <w:rsid w:val="0041263E"/>
    <w:rsid w:val="00413AAC"/>
    <w:rsid w:val="00413E92"/>
    <w:rsid w:val="004141AA"/>
    <w:rsid w:val="00421105"/>
    <w:rsid w:val="00422AA4"/>
    <w:rsid w:val="0042336F"/>
    <w:rsid w:val="004234DA"/>
    <w:rsid w:val="004242F4"/>
    <w:rsid w:val="00427248"/>
    <w:rsid w:val="00432173"/>
    <w:rsid w:val="004332DE"/>
    <w:rsid w:val="00437447"/>
    <w:rsid w:val="00441A92"/>
    <w:rsid w:val="004431DC"/>
    <w:rsid w:val="00444F56"/>
    <w:rsid w:val="00446488"/>
    <w:rsid w:val="00447D0E"/>
    <w:rsid w:val="004517AA"/>
    <w:rsid w:val="00452CAC"/>
    <w:rsid w:val="00453AD5"/>
    <w:rsid w:val="00457565"/>
    <w:rsid w:val="00457B71"/>
    <w:rsid w:val="00460823"/>
    <w:rsid w:val="0046454C"/>
    <w:rsid w:val="00464AF2"/>
    <w:rsid w:val="004669E2"/>
    <w:rsid w:val="00467D92"/>
    <w:rsid w:val="00470C31"/>
    <w:rsid w:val="00471DE0"/>
    <w:rsid w:val="00472169"/>
    <w:rsid w:val="00473316"/>
    <w:rsid w:val="004734D0"/>
    <w:rsid w:val="0047556B"/>
    <w:rsid w:val="004764CE"/>
    <w:rsid w:val="004776DB"/>
    <w:rsid w:val="00477768"/>
    <w:rsid w:val="004865D1"/>
    <w:rsid w:val="00486B8E"/>
    <w:rsid w:val="00492BC5"/>
    <w:rsid w:val="00494FA7"/>
    <w:rsid w:val="004964F1"/>
    <w:rsid w:val="004A16BC"/>
    <w:rsid w:val="004A23EC"/>
    <w:rsid w:val="004A2B94"/>
    <w:rsid w:val="004A3583"/>
    <w:rsid w:val="004A55FA"/>
    <w:rsid w:val="004B0F42"/>
    <w:rsid w:val="004B3B9C"/>
    <w:rsid w:val="004B6F6A"/>
    <w:rsid w:val="004B7C0C"/>
    <w:rsid w:val="004C1E86"/>
    <w:rsid w:val="004C3898"/>
    <w:rsid w:val="004D21A5"/>
    <w:rsid w:val="004D36B1"/>
    <w:rsid w:val="004D7EBD"/>
    <w:rsid w:val="004E0F61"/>
    <w:rsid w:val="004E1938"/>
    <w:rsid w:val="004E2680"/>
    <w:rsid w:val="004E28F9"/>
    <w:rsid w:val="004E3A79"/>
    <w:rsid w:val="004E462E"/>
    <w:rsid w:val="004E56DC"/>
    <w:rsid w:val="004E658F"/>
    <w:rsid w:val="004E76F4"/>
    <w:rsid w:val="004F0B4E"/>
    <w:rsid w:val="004F0B6C"/>
    <w:rsid w:val="004F2078"/>
    <w:rsid w:val="004F2705"/>
    <w:rsid w:val="004F428C"/>
    <w:rsid w:val="004F4DA3"/>
    <w:rsid w:val="00506557"/>
    <w:rsid w:val="0050677A"/>
    <w:rsid w:val="005075C3"/>
    <w:rsid w:val="005108D8"/>
    <w:rsid w:val="005116F9"/>
    <w:rsid w:val="00513214"/>
    <w:rsid w:val="005153A7"/>
    <w:rsid w:val="0051792F"/>
    <w:rsid w:val="005213EE"/>
    <w:rsid w:val="005219CF"/>
    <w:rsid w:val="00523EBC"/>
    <w:rsid w:val="00524067"/>
    <w:rsid w:val="005244BE"/>
    <w:rsid w:val="00524841"/>
    <w:rsid w:val="005337FF"/>
    <w:rsid w:val="00534B59"/>
    <w:rsid w:val="00536759"/>
    <w:rsid w:val="005370F0"/>
    <w:rsid w:val="00537C62"/>
    <w:rsid w:val="00546970"/>
    <w:rsid w:val="00554E19"/>
    <w:rsid w:val="005610D7"/>
    <w:rsid w:val="0056121F"/>
    <w:rsid w:val="00566A42"/>
    <w:rsid w:val="005677DD"/>
    <w:rsid w:val="00570924"/>
    <w:rsid w:val="00572505"/>
    <w:rsid w:val="00576134"/>
    <w:rsid w:val="00582809"/>
    <w:rsid w:val="00586EE2"/>
    <w:rsid w:val="0058798C"/>
    <w:rsid w:val="005900FA"/>
    <w:rsid w:val="00590FA7"/>
    <w:rsid w:val="005935A4"/>
    <w:rsid w:val="005948C2"/>
    <w:rsid w:val="00595DCA"/>
    <w:rsid w:val="0059779B"/>
    <w:rsid w:val="005A0691"/>
    <w:rsid w:val="005A0E6C"/>
    <w:rsid w:val="005A209A"/>
    <w:rsid w:val="005A28D1"/>
    <w:rsid w:val="005A3F17"/>
    <w:rsid w:val="005A662D"/>
    <w:rsid w:val="005B0F6D"/>
    <w:rsid w:val="005B1409"/>
    <w:rsid w:val="005B326A"/>
    <w:rsid w:val="005B35D7"/>
    <w:rsid w:val="005B392A"/>
    <w:rsid w:val="005B3AA3"/>
    <w:rsid w:val="005B571B"/>
    <w:rsid w:val="005B6F83"/>
    <w:rsid w:val="005B7C18"/>
    <w:rsid w:val="005C6D36"/>
    <w:rsid w:val="005C74F3"/>
    <w:rsid w:val="005C74FB"/>
    <w:rsid w:val="005D1602"/>
    <w:rsid w:val="005D35A3"/>
    <w:rsid w:val="005D3997"/>
    <w:rsid w:val="005E356D"/>
    <w:rsid w:val="005E385F"/>
    <w:rsid w:val="005E5B81"/>
    <w:rsid w:val="005F2CB1"/>
    <w:rsid w:val="005F3025"/>
    <w:rsid w:val="005F618C"/>
    <w:rsid w:val="005F70BD"/>
    <w:rsid w:val="00601C9A"/>
    <w:rsid w:val="006020C3"/>
    <w:rsid w:val="0060283C"/>
    <w:rsid w:val="00603021"/>
    <w:rsid w:val="00604845"/>
    <w:rsid w:val="00604F14"/>
    <w:rsid w:val="00611819"/>
    <w:rsid w:val="00611B83"/>
    <w:rsid w:val="0061237A"/>
    <w:rsid w:val="00613257"/>
    <w:rsid w:val="00620A71"/>
    <w:rsid w:val="00620D80"/>
    <w:rsid w:val="006234A6"/>
    <w:rsid w:val="00623B01"/>
    <w:rsid w:val="006243A4"/>
    <w:rsid w:val="006272F5"/>
    <w:rsid w:val="006277FC"/>
    <w:rsid w:val="00630001"/>
    <w:rsid w:val="006311B3"/>
    <w:rsid w:val="0063284C"/>
    <w:rsid w:val="00632B90"/>
    <w:rsid w:val="00633855"/>
    <w:rsid w:val="00636398"/>
    <w:rsid w:val="006368D3"/>
    <w:rsid w:val="006377EC"/>
    <w:rsid w:val="0064151F"/>
    <w:rsid w:val="00641533"/>
    <w:rsid w:val="0064208D"/>
    <w:rsid w:val="00643475"/>
    <w:rsid w:val="0064396A"/>
    <w:rsid w:val="0064440F"/>
    <w:rsid w:val="0064624E"/>
    <w:rsid w:val="006465B7"/>
    <w:rsid w:val="00650AB9"/>
    <w:rsid w:val="00651681"/>
    <w:rsid w:val="00654693"/>
    <w:rsid w:val="00655733"/>
    <w:rsid w:val="00655ACD"/>
    <w:rsid w:val="00655FB4"/>
    <w:rsid w:val="00656A92"/>
    <w:rsid w:val="00656DDE"/>
    <w:rsid w:val="0066011D"/>
    <w:rsid w:val="006607C0"/>
    <w:rsid w:val="006609F7"/>
    <w:rsid w:val="00660FA7"/>
    <w:rsid w:val="006613A6"/>
    <w:rsid w:val="006627A2"/>
    <w:rsid w:val="006634E6"/>
    <w:rsid w:val="006655EE"/>
    <w:rsid w:val="00667EE7"/>
    <w:rsid w:val="00670922"/>
    <w:rsid w:val="00670BE1"/>
    <w:rsid w:val="0067218F"/>
    <w:rsid w:val="006741F2"/>
    <w:rsid w:val="00674CC3"/>
    <w:rsid w:val="00675C72"/>
    <w:rsid w:val="00676133"/>
    <w:rsid w:val="006771F9"/>
    <w:rsid w:val="006776D7"/>
    <w:rsid w:val="00677FDF"/>
    <w:rsid w:val="00681003"/>
    <w:rsid w:val="006817C9"/>
    <w:rsid w:val="00683ECE"/>
    <w:rsid w:val="00687722"/>
    <w:rsid w:val="00691E1D"/>
    <w:rsid w:val="00695FC2"/>
    <w:rsid w:val="00696949"/>
    <w:rsid w:val="00697052"/>
    <w:rsid w:val="006A46FB"/>
    <w:rsid w:val="006A5E28"/>
    <w:rsid w:val="006A697B"/>
    <w:rsid w:val="006A69CE"/>
    <w:rsid w:val="006A6F20"/>
    <w:rsid w:val="006A7AFF"/>
    <w:rsid w:val="006B0F69"/>
    <w:rsid w:val="006B1816"/>
    <w:rsid w:val="006B2069"/>
    <w:rsid w:val="006B2099"/>
    <w:rsid w:val="006B50CF"/>
    <w:rsid w:val="006B557E"/>
    <w:rsid w:val="006C03B8"/>
    <w:rsid w:val="006C5EC9"/>
    <w:rsid w:val="006C6059"/>
    <w:rsid w:val="006C7522"/>
    <w:rsid w:val="006D2C63"/>
    <w:rsid w:val="006D6F08"/>
    <w:rsid w:val="006E062C"/>
    <w:rsid w:val="006E1C82"/>
    <w:rsid w:val="006E28B7"/>
    <w:rsid w:val="006E2A9B"/>
    <w:rsid w:val="006E3310"/>
    <w:rsid w:val="006E338F"/>
    <w:rsid w:val="006E4E39"/>
    <w:rsid w:val="006E565E"/>
    <w:rsid w:val="006E5BE6"/>
    <w:rsid w:val="006E673D"/>
    <w:rsid w:val="006E7D3B"/>
    <w:rsid w:val="006F16E3"/>
    <w:rsid w:val="006F1B70"/>
    <w:rsid w:val="006F1E9A"/>
    <w:rsid w:val="006F2236"/>
    <w:rsid w:val="006F341D"/>
    <w:rsid w:val="006F3CDE"/>
    <w:rsid w:val="006F58D4"/>
    <w:rsid w:val="006F6582"/>
    <w:rsid w:val="006F7BB2"/>
    <w:rsid w:val="00702E59"/>
    <w:rsid w:val="0070346E"/>
    <w:rsid w:val="00703B80"/>
    <w:rsid w:val="007042B3"/>
    <w:rsid w:val="00704EDB"/>
    <w:rsid w:val="00706101"/>
    <w:rsid w:val="00706D90"/>
    <w:rsid w:val="00707072"/>
    <w:rsid w:val="00707166"/>
    <w:rsid w:val="00707C04"/>
    <w:rsid w:val="00707D61"/>
    <w:rsid w:val="00711B74"/>
    <w:rsid w:val="00712287"/>
    <w:rsid w:val="00712772"/>
    <w:rsid w:val="00713C24"/>
    <w:rsid w:val="007148D3"/>
    <w:rsid w:val="00715B9A"/>
    <w:rsid w:val="00723CBF"/>
    <w:rsid w:val="007257D0"/>
    <w:rsid w:val="00726241"/>
    <w:rsid w:val="00726EA6"/>
    <w:rsid w:val="00727208"/>
    <w:rsid w:val="00727680"/>
    <w:rsid w:val="007311E1"/>
    <w:rsid w:val="007343E2"/>
    <w:rsid w:val="007348B1"/>
    <w:rsid w:val="007353DA"/>
    <w:rsid w:val="007362A6"/>
    <w:rsid w:val="00736D7D"/>
    <w:rsid w:val="00740E58"/>
    <w:rsid w:val="007445A0"/>
    <w:rsid w:val="0074524B"/>
    <w:rsid w:val="00747D8B"/>
    <w:rsid w:val="00751228"/>
    <w:rsid w:val="00755F03"/>
    <w:rsid w:val="007571E1"/>
    <w:rsid w:val="00757A16"/>
    <w:rsid w:val="007604B2"/>
    <w:rsid w:val="00762E30"/>
    <w:rsid w:val="00763E22"/>
    <w:rsid w:val="00765281"/>
    <w:rsid w:val="007659B8"/>
    <w:rsid w:val="00766BAD"/>
    <w:rsid w:val="007729A2"/>
    <w:rsid w:val="007755F2"/>
    <w:rsid w:val="00776971"/>
    <w:rsid w:val="00776ACD"/>
    <w:rsid w:val="00780A80"/>
    <w:rsid w:val="0078177E"/>
    <w:rsid w:val="0078304C"/>
    <w:rsid w:val="00783673"/>
    <w:rsid w:val="00785490"/>
    <w:rsid w:val="00785D99"/>
    <w:rsid w:val="00791415"/>
    <w:rsid w:val="007925EA"/>
    <w:rsid w:val="00793CD8"/>
    <w:rsid w:val="00795C92"/>
    <w:rsid w:val="00796231"/>
    <w:rsid w:val="00797DEB"/>
    <w:rsid w:val="007A1990"/>
    <w:rsid w:val="007A1CB3"/>
    <w:rsid w:val="007A306F"/>
    <w:rsid w:val="007A43A6"/>
    <w:rsid w:val="007A4D93"/>
    <w:rsid w:val="007A4DB8"/>
    <w:rsid w:val="007A5639"/>
    <w:rsid w:val="007A58A6"/>
    <w:rsid w:val="007A623E"/>
    <w:rsid w:val="007B3B9D"/>
    <w:rsid w:val="007B3D2D"/>
    <w:rsid w:val="007B50AE"/>
    <w:rsid w:val="007B51DF"/>
    <w:rsid w:val="007C05DD"/>
    <w:rsid w:val="007C3D18"/>
    <w:rsid w:val="007C60BF"/>
    <w:rsid w:val="007C6A07"/>
    <w:rsid w:val="007C75A1"/>
    <w:rsid w:val="007C77A5"/>
    <w:rsid w:val="007D04E5"/>
    <w:rsid w:val="007D5901"/>
    <w:rsid w:val="007D7526"/>
    <w:rsid w:val="007D7B81"/>
    <w:rsid w:val="007E0C5D"/>
    <w:rsid w:val="007E4610"/>
    <w:rsid w:val="007E4715"/>
    <w:rsid w:val="007E505B"/>
    <w:rsid w:val="007E7091"/>
    <w:rsid w:val="007F56DE"/>
    <w:rsid w:val="007F7C46"/>
    <w:rsid w:val="008028F8"/>
    <w:rsid w:val="00803B9E"/>
    <w:rsid w:val="00803FAE"/>
    <w:rsid w:val="00804130"/>
    <w:rsid w:val="0080605F"/>
    <w:rsid w:val="00807786"/>
    <w:rsid w:val="00811FCB"/>
    <w:rsid w:val="00815169"/>
    <w:rsid w:val="008158D6"/>
    <w:rsid w:val="00816671"/>
    <w:rsid w:val="00817196"/>
    <w:rsid w:val="008177DD"/>
    <w:rsid w:val="00820988"/>
    <w:rsid w:val="008235DB"/>
    <w:rsid w:val="00824AB4"/>
    <w:rsid w:val="00825C42"/>
    <w:rsid w:val="00825D25"/>
    <w:rsid w:val="00826462"/>
    <w:rsid w:val="008272FB"/>
    <w:rsid w:val="00827D6F"/>
    <w:rsid w:val="00830F58"/>
    <w:rsid w:val="00831897"/>
    <w:rsid w:val="008376AC"/>
    <w:rsid w:val="008444E8"/>
    <w:rsid w:val="00844E80"/>
    <w:rsid w:val="00845017"/>
    <w:rsid w:val="00846046"/>
    <w:rsid w:val="00846FE7"/>
    <w:rsid w:val="00850C76"/>
    <w:rsid w:val="00856911"/>
    <w:rsid w:val="0086253F"/>
    <w:rsid w:val="008641E8"/>
    <w:rsid w:val="008677FD"/>
    <w:rsid w:val="00867A13"/>
    <w:rsid w:val="008706D4"/>
    <w:rsid w:val="00870F8A"/>
    <w:rsid w:val="008719A4"/>
    <w:rsid w:val="00871D23"/>
    <w:rsid w:val="00871D3C"/>
    <w:rsid w:val="00872F1C"/>
    <w:rsid w:val="00874312"/>
    <w:rsid w:val="0087437C"/>
    <w:rsid w:val="00875CD7"/>
    <w:rsid w:val="00876B4D"/>
    <w:rsid w:val="00877F18"/>
    <w:rsid w:val="008812A3"/>
    <w:rsid w:val="00883129"/>
    <w:rsid w:val="008941E3"/>
    <w:rsid w:val="00894A88"/>
    <w:rsid w:val="00895386"/>
    <w:rsid w:val="00897820"/>
    <w:rsid w:val="008A12E9"/>
    <w:rsid w:val="008A21FF"/>
    <w:rsid w:val="008A2CE2"/>
    <w:rsid w:val="008A30AC"/>
    <w:rsid w:val="008A3A92"/>
    <w:rsid w:val="008A44B8"/>
    <w:rsid w:val="008A51A8"/>
    <w:rsid w:val="008A54C7"/>
    <w:rsid w:val="008A5AF2"/>
    <w:rsid w:val="008A77D8"/>
    <w:rsid w:val="008B0483"/>
    <w:rsid w:val="008B120C"/>
    <w:rsid w:val="008B2F97"/>
    <w:rsid w:val="008B51A0"/>
    <w:rsid w:val="008B592A"/>
    <w:rsid w:val="008B6C3F"/>
    <w:rsid w:val="008B75C3"/>
    <w:rsid w:val="008B7760"/>
    <w:rsid w:val="008B7B5C"/>
    <w:rsid w:val="008B7D68"/>
    <w:rsid w:val="008C0C99"/>
    <w:rsid w:val="008C2017"/>
    <w:rsid w:val="008C2243"/>
    <w:rsid w:val="008C29E6"/>
    <w:rsid w:val="008C4958"/>
    <w:rsid w:val="008C4BAA"/>
    <w:rsid w:val="008C4ED9"/>
    <w:rsid w:val="008C65FC"/>
    <w:rsid w:val="008C6AE8"/>
    <w:rsid w:val="008C7573"/>
    <w:rsid w:val="008D00A5"/>
    <w:rsid w:val="008D12CA"/>
    <w:rsid w:val="008D34F1"/>
    <w:rsid w:val="008D39D8"/>
    <w:rsid w:val="008D6D1A"/>
    <w:rsid w:val="008D73E0"/>
    <w:rsid w:val="008E065E"/>
    <w:rsid w:val="008E0927"/>
    <w:rsid w:val="008E0F94"/>
    <w:rsid w:val="008E1909"/>
    <w:rsid w:val="008E2B5C"/>
    <w:rsid w:val="008F1EAB"/>
    <w:rsid w:val="008F33DC"/>
    <w:rsid w:val="008F477F"/>
    <w:rsid w:val="00902350"/>
    <w:rsid w:val="0090336B"/>
    <w:rsid w:val="00903891"/>
    <w:rsid w:val="00904AD6"/>
    <w:rsid w:val="009053AA"/>
    <w:rsid w:val="00906939"/>
    <w:rsid w:val="00910B7D"/>
    <w:rsid w:val="00910BE1"/>
    <w:rsid w:val="00911DFB"/>
    <w:rsid w:val="009121E0"/>
    <w:rsid w:val="009139D9"/>
    <w:rsid w:val="00914AD8"/>
    <w:rsid w:val="00916079"/>
    <w:rsid w:val="00917CE9"/>
    <w:rsid w:val="00920269"/>
    <w:rsid w:val="00920BF2"/>
    <w:rsid w:val="00920F4D"/>
    <w:rsid w:val="00920FA1"/>
    <w:rsid w:val="00922010"/>
    <w:rsid w:val="00925CB1"/>
    <w:rsid w:val="00926D7F"/>
    <w:rsid w:val="009307F9"/>
    <w:rsid w:val="00931BD9"/>
    <w:rsid w:val="009327B5"/>
    <w:rsid w:val="0093608B"/>
    <w:rsid w:val="009368F3"/>
    <w:rsid w:val="00941636"/>
    <w:rsid w:val="00943742"/>
    <w:rsid w:val="00945C05"/>
    <w:rsid w:val="00946945"/>
    <w:rsid w:val="00947713"/>
    <w:rsid w:val="00950DE7"/>
    <w:rsid w:val="00953920"/>
    <w:rsid w:val="00953D47"/>
    <w:rsid w:val="0095681E"/>
    <w:rsid w:val="009572D4"/>
    <w:rsid w:val="00961921"/>
    <w:rsid w:val="009635FF"/>
    <w:rsid w:val="0096430A"/>
    <w:rsid w:val="0096554B"/>
    <w:rsid w:val="0096584A"/>
    <w:rsid w:val="00965926"/>
    <w:rsid w:val="009708C9"/>
    <w:rsid w:val="009711C2"/>
    <w:rsid w:val="009711E1"/>
    <w:rsid w:val="00971F08"/>
    <w:rsid w:val="00972CA3"/>
    <w:rsid w:val="009730D3"/>
    <w:rsid w:val="0097603D"/>
    <w:rsid w:val="00976949"/>
    <w:rsid w:val="00977722"/>
    <w:rsid w:val="00980477"/>
    <w:rsid w:val="00980EDE"/>
    <w:rsid w:val="00985253"/>
    <w:rsid w:val="009853B3"/>
    <w:rsid w:val="00986D69"/>
    <w:rsid w:val="00990630"/>
    <w:rsid w:val="00991761"/>
    <w:rsid w:val="0099435E"/>
    <w:rsid w:val="00994DCA"/>
    <w:rsid w:val="009960EC"/>
    <w:rsid w:val="00996D88"/>
    <w:rsid w:val="009970DD"/>
    <w:rsid w:val="009A0FBA"/>
    <w:rsid w:val="009A1512"/>
    <w:rsid w:val="009A1601"/>
    <w:rsid w:val="009A3BB6"/>
    <w:rsid w:val="009A462D"/>
    <w:rsid w:val="009A4EF5"/>
    <w:rsid w:val="009A5CBA"/>
    <w:rsid w:val="009B1F30"/>
    <w:rsid w:val="009B3AC2"/>
    <w:rsid w:val="009B4DF4"/>
    <w:rsid w:val="009B564E"/>
    <w:rsid w:val="009B625F"/>
    <w:rsid w:val="009B628E"/>
    <w:rsid w:val="009B7E87"/>
    <w:rsid w:val="009C0169"/>
    <w:rsid w:val="009C403E"/>
    <w:rsid w:val="009C5649"/>
    <w:rsid w:val="009D0EB6"/>
    <w:rsid w:val="009D4FF0"/>
    <w:rsid w:val="009D7011"/>
    <w:rsid w:val="009D703C"/>
    <w:rsid w:val="009D718F"/>
    <w:rsid w:val="009E068F"/>
    <w:rsid w:val="009E0C5A"/>
    <w:rsid w:val="009E0E15"/>
    <w:rsid w:val="009E14E0"/>
    <w:rsid w:val="009E35DB"/>
    <w:rsid w:val="009E47A3"/>
    <w:rsid w:val="009F08F3"/>
    <w:rsid w:val="009F344F"/>
    <w:rsid w:val="009F4700"/>
    <w:rsid w:val="009F6389"/>
    <w:rsid w:val="00A031D8"/>
    <w:rsid w:val="00A048A8"/>
    <w:rsid w:val="00A04F49"/>
    <w:rsid w:val="00A06255"/>
    <w:rsid w:val="00A13E54"/>
    <w:rsid w:val="00A17F63"/>
    <w:rsid w:val="00A213E0"/>
    <w:rsid w:val="00A2193B"/>
    <w:rsid w:val="00A2318E"/>
    <w:rsid w:val="00A2351A"/>
    <w:rsid w:val="00A253BE"/>
    <w:rsid w:val="00A25532"/>
    <w:rsid w:val="00A25D2A"/>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57D7"/>
    <w:rsid w:val="00A660AC"/>
    <w:rsid w:val="00A67E6C"/>
    <w:rsid w:val="00A70D03"/>
    <w:rsid w:val="00A71B99"/>
    <w:rsid w:val="00A73064"/>
    <w:rsid w:val="00A739D0"/>
    <w:rsid w:val="00A75AFC"/>
    <w:rsid w:val="00A761D4"/>
    <w:rsid w:val="00A77EC4"/>
    <w:rsid w:val="00A84914"/>
    <w:rsid w:val="00A8691B"/>
    <w:rsid w:val="00A92879"/>
    <w:rsid w:val="00A93E92"/>
    <w:rsid w:val="00A9442A"/>
    <w:rsid w:val="00A96F65"/>
    <w:rsid w:val="00AA016F"/>
    <w:rsid w:val="00AA1ED6"/>
    <w:rsid w:val="00AA51D6"/>
    <w:rsid w:val="00AA67AA"/>
    <w:rsid w:val="00AA74D2"/>
    <w:rsid w:val="00AB0BC8"/>
    <w:rsid w:val="00AB1123"/>
    <w:rsid w:val="00AB11CA"/>
    <w:rsid w:val="00AB14D9"/>
    <w:rsid w:val="00AB353D"/>
    <w:rsid w:val="00AB4AB8"/>
    <w:rsid w:val="00AB655E"/>
    <w:rsid w:val="00AC007F"/>
    <w:rsid w:val="00AC1610"/>
    <w:rsid w:val="00AC2ECD"/>
    <w:rsid w:val="00AC308A"/>
    <w:rsid w:val="00AC310E"/>
    <w:rsid w:val="00AC3119"/>
    <w:rsid w:val="00AC49FB"/>
    <w:rsid w:val="00AC5087"/>
    <w:rsid w:val="00AC5A10"/>
    <w:rsid w:val="00AC5EC7"/>
    <w:rsid w:val="00AC6111"/>
    <w:rsid w:val="00AD0AA3"/>
    <w:rsid w:val="00AD3F94"/>
    <w:rsid w:val="00AD422E"/>
    <w:rsid w:val="00AD4271"/>
    <w:rsid w:val="00AD4A5A"/>
    <w:rsid w:val="00AD60F9"/>
    <w:rsid w:val="00AE27AC"/>
    <w:rsid w:val="00AE40E0"/>
    <w:rsid w:val="00AE4DBA"/>
    <w:rsid w:val="00AE4F07"/>
    <w:rsid w:val="00AF1A2C"/>
    <w:rsid w:val="00AF1C5D"/>
    <w:rsid w:val="00AF2BF5"/>
    <w:rsid w:val="00AF42D7"/>
    <w:rsid w:val="00B006FE"/>
    <w:rsid w:val="00B007CB"/>
    <w:rsid w:val="00B01B16"/>
    <w:rsid w:val="00B02AA9"/>
    <w:rsid w:val="00B02FA3"/>
    <w:rsid w:val="00B03395"/>
    <w:rsid w:val="00B05084"/>
    <w:rsid w:val="00B157F9"/>
    <w:rsid w:val="00B1739A"/>
    <w:rsid w:val="00B1780F"/>
    <w:rsid w:val="00B20256"/>
    <w:rsid w:val="00B20D09"/>
    <w:rsid w:val="00B2763F"/>
    <w:rsid w:val="00B27AAC"/>
    <w:rsid w:val="00B30588"/>
    <w:rsid w:val="00B30929"/>
    <w:rsid w:val="00B372AA"/>
    <w:rsid w:val="00B40445"/>
    <w:rsid w:val="00B409E0"/>
    <w:rsid w:val="00B41888"/>
    <w:rsid w:val="00B44AF7"/>
    <w:rsid w:val="00B45A52"/>
    <w:rsid w:val="00B46175"/>
    <w:rsid w:val="00B47815"/>
    <w:rsid w:val="00B52FFF"/>
    <w:rsid w:val="00B536C7"/>
    <w:rsid w:val="00B548B7"/>
    <w:rsid w:val="00B56E0A"/>
    <w:rsid w:val="00B577B5"/>
    <w:rsid w:val="00B64362"/>
    <w:rsid w:val="00B664C7"/>
    <w:rsid w:val="00B673D6"/>
    <w:rsid w:val="00B72B8F"/>
    <w:rsid w:val="00B739F6"/>
    <w:rsid w:val="00B759A4"/>
    <w:rsid w:val="00B769F1"/>
    <w:rsid w:val="00B8119F"/>
    <w:rsid w:val="00B81A6C"/>
    <w:rsid w:val="00B85DE5"/>
    <w:rsid w:val="00B90F73"/>
    <w:rsid w:val="00B93B59"/>
    <w:rsid w:val="00B9406A"/>
    <w:rsid w:val="00B96838"/>
    <w:rsid w:val="00B97274"/>
    <w:rsid w:val="00BA20D7"/>
    <w:rsid w:val="00BA2280"/>
    <w:rsid w:val="00BA254A"/>
    <w:rsid w:val="00BA2A08"/>
    <w:rsid w:val="00BA3262"/>
    <w:rsid w:val="00BA56D2"/>
    <w:rsid w:val="00BA76E0"/>
    <w:rsid w:val="00BB2A25"/>
    <w:rsid w:val="00BB3242"/>
    <w:rsid w:val="00BB51E9"/>
    <w:rsid w:val="00BB57AC"/>
    <w:rsid w:val="00BC040E"/>
    <w:rsid w:val="00BC04C1"/>
    <w:rsid w:val="00BC0FDC"/>
    <w:rsid w:val="00BC2811"/>
    <w:rsid w:val="00BC3053"/>
    <w:rsid w:val="00BC4C1E"/>
    <w:rsid w:val="00BC4D2E"/>
    <w:rsid w:val="00BD0F17"/>
    <w:rsid w:val="00BD1C53"/>
    <w:rsid w:val="00BD3EF4"/>
    <w:rsid w:val="00BD467D"/>
    <w:rsid w:val="00BD48AC"/>
    <w:rsid w:val="00BD5F1A"/>
    <w:rsid w:val="00BD66C4"/>
    <w:rsid w:val="00BE1234"/>
    <w:rsid w:val="00BE2FA6"/>
    <w:rsid w:val="00BE333F"/>
    <w:rsid w:val="00BE7406"/>
    <w:rsid w:val="00BE7603"/>
    <w:rsid w:val="00BF3279"/>
    <w:rsid w:val="00BF74C7"/>
    <w:rsid w:val="00C015F1"/>
    <w:rsid w:val="00C01F33"/>
    <w:rsid w:val="00C02CC6"/>
    <w:rsid w:val="00C040F7"/>
    <w:rsid w:val="00C044AB"/>
    <w:rsid w:val="00C0566F"/>
    <w:rsid w:val="00C05706"/>
    <w:rsid w:val="00C07377"/>
    <w:rsid w:val="00C10478"/>
    <w:rsid w:val="00C12107"/>
    <w:rsid w:val="00C1482F"/>
    <w:rsid w:val="00C14D4B"/>
    <w:rsid w:val="00C154BB"/>
    <w:rsid w:val="00C21FCB"/>
    <w:rsid w:val="00C268E6"/>
    <w:rsid w:val="00C279B5"/>
    <w:rsid w:val="00C27C45"/>
    <w:rsid w:val="00C314EC"/>
    <w:rsid w:val="00C3719D"/>
    <w:rsid w:val="00C37CB2"/>
    <w:rsid w:val="00C37E8C"/>
    <w:rsid w:val="00C40F43"/>
    <w:rsid w:val="00C46B9A"/>
    <w:rsid w:val="00C473A5"/>
    <w:rsid w:val="00C54995"/>
    <w:rsid w:val="00C54D41"/>
    <w:rsid w:val="00C60783"/>
    <w:rsid w:val="00C64672"/>
    <w:rsid w:val="00C66768"/>
    <w:rsid w:val="00C70697"/>
    <w:rsid w:val="00C712CB"/>
    <w:rsid w:val="00C71C9B"/>
    <w:rsid w:val="00C72093"/>
    <w:rsid w:val="00C72EF4"/>
    <w:rsid w:val="00C744FE"/>
    <w:rsid w:val="00C75D2F"/>
    <w:rsid w:val="00C767BE"/>
    <w:rsid w:val="00C76E3C"/>
    <w:rsid w:val="00C81568"/>
    <w:rsid w:val="00C82211"/>
    <w:rsid w:val="00C839C0"/>
    <w:rsid w:val="00C9027A"/>
    <w:rsid w:val="00C9068E"/>
    <w:rsid w:val="00C93814"/>
    <w:rsid w:val="00C93C4B"/>
    <w:rsid w:val="00C944AB"/>
    <w:rsid w:val="00C95697"/>
    <w:rsid w:val="00C95B40"/>
    <w:rsid w:val="00CA1ED8"/>
    <w:rsid w:val="00CA5752"/>
    <w:rsid w:val="00CB1422"/>
    <w:rsid w:val="00CB1F63"/>
    <w:rsid w:val="00CB7170"/>
    <w:rsid w:val="00CC040E"/>
    <w:rsid w:val="00CC111F"/>
    <w:rsid w:val="00CC2011"/>
    <w:rsid w:val="00CC3EA0"/>
    <w:rsid w:val="00CC7B45"/>
    <w:rsid w:val="00CD1188"/>
    <w:rsid w:val="00CD1AA6"/>
    <w:rsid w:val="00CD2ED1"/>
    <w:rsid w:val="00CD337B"/>
    <w:rsid w:val="00CE0424"/>
    <w:rsid w:val="00CE7561"/>
    <w:rsid w:val="00CF1354"/>
    <w:rsid w:val="00CF3B1F"/>
    <w:rsid w:val="00CF3BF6"/>
    <w:rsid w:val="00CF489D"/>
    <w:rsid w:val="00CF625B"/>
    <w:rsid w:val="00CF687E"/>
    <w:rsid w:val="00D004B1"/>
    <w:rsid w:val="00D016FC"/>
    <w:rsid w:val="00D0349B"/>
    <w:rsid w:val="00D10249"/>
    <w:rsid w:val="00D115C3"/>
    <w:rsid w:val="00D11897"/>
    <w:rsid w:val="00D12432"/>
    <w:rsid w:val="00D13135"/>
    <w:rsid w:val="00D13E4E"/>
    <w:rsid w:val="00D14C8C"/>
    <w:rsid w:val="00D150C0"/>
    <w:rsid w:val="00D157A5"/>
    <w:rsid w:val="00D17568"/>
    <w:rsid w:val="00D239A7"/>
    <w:rsid w:val="00D23F47"/>
    <w:rsid w:val="00D304B3"/>
    <w:rsid w:val="00D36E71"/>
    <w:rsid w:val="00D37D87"/>
    <w:rsid w:val="00D40B33"/>
    <w:rsid w:val="00D4318F"/>
    <w:rsid w:val="00D438BF"/>
    <w:rsid w:val="00D440F8"/>
    <w:rsid w:val="00D4546C"/>
    <w:rsid w:val="00D47BBD"/>
    <w:rsid w:val="00D546FF"/>
    <w:rsid w:val="00D54BAD"/>
    <w:rsid w:val="00D55AD5"/>
    <w:rsid w:val="00D576CA"/>
    <w:rsid w:val="00D61AF5"/>
    <w:rsid w:val="00D652B5"/>
    <w:rsid w:val="00D66155"/>
    <w:rsid w:val="00D66731"/>
    <w:rsid w:val="00D708B0"/>
    <w:rsid w:val="00D72170"/>
    <w:rsid w:val="00D74EAA"/>
    <w:rsid w:val="00D77B1D"/>
    <w:rsid w:val="00D8021F"/>
    <w:rsid w:val="00D80383"/>
    <w:rsid w:val="00D8045A"/>
    <w:rsid w:val="00D823C6"/>
    <w:rsid w:val="00D82732"/>
    <w:rsid w:val="00D8327F"/>
    <w:rsid w:val="00D83E22"/>
    <w:rsid w:val="00D86CA3"/>
    <w:rsid w:val="00D871CE"/>
    <w:rsid w:val="00D87A8D"/>
    <w:rsid w:val="00D9196D"/>
    <w:rsid w:val="00D92982"/>
    <w:rsid w:val="00D93F3F"/>
    <w:rsid w:val="00D9436C"/>
    <w:rsid w:val="00D9792C"/>
    <w:rsid w:val="00DA305E"/>
    <w:rsid w:val="00DA5417"/>
    <w:rsid w:val="00DA56E8"/>
    <w:rsid w:val="00DA5E80"/>
    <w:rsid w:val="00DB0A9F"/>
    <w:rsid w:val="00DB377D"/>
    <w:rsid w:val="00DC2D36"/>
    <w:rsid w:val="00DC390E"/>
    <w:rsid w:val="00DC53EF"/>
    <w:rsid w:val="00DD0639"/>
    <w:rsid w:val="00DD1EC8"/>
    <w:rsid w:val="00DD2BD4"/>
    <w:rsid w:val="00DD45A9"/>
    <w:rsid w:val="00DD4B50"/>
    <w:rsid w:val="00DE5608"/>
    <w:rsid w:val="00DE58D0"/>
    <w:rsid w:val="00DE654F"/>
    <w:rsid w:val="00DF0B6E"/>
    <w:rsid w:val="00DF124D"/>
    <w:rsid w:val="00DF157D"/>
    <w:rsid w:val="00DF15E0"/>
    <w:rsid w:val="00DF37A0"/>
    <w:rsid w:val="00E05A5B"/>
    <w:rsid w:val="00E06639"/>
    <w:rsid w:val="00E06E72"/>
    <w:rsid w:val="00E110E7"/>
    <w:rsid w:val="00E11B20"/>
    <w:rsid w:val="00E12517"/>
    <w:rsid w:val="00E17259"/>
    <w:rsid w:val="00E17FA2"/>
    <w:rsid w:val="00E2104D"/>
    <w:rsid w:val="00E21A54"/>
    <w:rsid w:val="00E21E07"/>
    <w:rsid w:val="00E22330"/>
    <w:rsid w:val="00E30B5A"/>
    <w:rsid w:val="00E3123D"/>
    <w:rsid w:val="00E31461"/>
    <w:rsid w:val="00E31D43"/>
    <w:rsid w:val="00E32608"/>
    <w:rsid w:val="00E34188"/>
    <w:rsid w:val="00E34B6E"/>
    <w:rsid w:val="00E35559"/>
    <w:rsid w:val="00E3723A"/>
    <w:rsid w:val="00E37860"/>
    <w:rsid w:val="00E411C3"/>
    <w:rsid w:val="00E446F1"/>
    <w:rsid w:val="00E46886"/>
    <w:rsid w:val="00E46FDF"/>
    <w:rsid w:val="00E47AEF"/>
    <w:rsid w:val="00E5293C"/>
    <w:rsid w:val="00E53B75"/>
    <w:rsid w:val="00E53E16"/>
    <w:rsid w:val="00E54E3B"/>
    <w:rsid w:val="00E57565"/>
    <w:rsid w:val="00E60756"/>
    <w:rsid w:val="00E63838"/>
    <w:rsid w:val="00E64434"/>
    <w:rsid w:val="00E65C3D"/>
    <w:rsid w:val="00E66400"/>
    <w:rsid w:val="00E67C51"/>
    <w:rsid w:val="00E7021D"/>
    <w:rsid w:val="00E72EFC"/>
    <w:rsid w:val="00E7581B"/>
    <w:rsid w:val="00E7589D"/>
    <w:rsid w:val="00E758EC"/>
    <w:rsid w:val="00E8234C"/>
    <w:rsid w:val="00E83AA9"/>
    <w:rsid w:val="00E84E5A"/>
    <w:rsid w:val="00E85928"/>
    <w:rsid w:val="00E87822"/>
    <w:rsid w:val="00E87F73"/>
    <w:rsid w:val="00E90395"/>
    <w:rsid w:val="00E90E49"/>
    <w:rsid w:val="00E91725"/>
    <w:rsid w:val="00E917F9"/>
    <w:rsid w:val="00E9291C"/>
    <w:rsid w:val="00E93488"/>
    <w:rsid w:val="00E93FFE"/>
    <w:rsid w:val="00E94F8A"/>
    <w:rsid w:val="00EA6434"/>
    <w:rsid w:val="00EA7A41"/>
    <w:rsid w:val="00EB077B"/>
    <w:rsid w:val="00EB1C2B"/>
    <w:rsid w:val="00EB2DE5"/>
    <w:rsid w:val="00EB418B"/>
    <w:rsid w:val="00EB4EA2"/>
    <w:rsid w:val="00EB5150"/>
    <w:rsid w:val="00EC24D5"/>
    <w:rsid w:val="00EC27C6"/>
    <w:rsid w:val="00EC4207"/>
    <w:rsid w:val="00EC43B7"/>
    <w:rsid w:val="00EC5653"/>
    <w:rsid w:val="00EC5AF5"/>
    <w:rsid w:val="00EC71CE"/>
    <w:rsid w:val="00ED1006"/>
    <w:rsid w:val="00ED21D6"/>
    <w:rsid w:val="00ED48B2"/>
    <w:rsid w:val="00EE16C4"/>
    <w:rsid w:val="00EE3963"/>
    <w:rsid w:val="00EF18FE"/>
    <w:rsid w:val="00EF26BC"/>
    <w:rsid w:val="00EF4C9E"/>
    <w:rsid w:val="00EF5787"/>
    <w:rsid w:val="00EF60D0"/>
    <w:rsid w:val="00EF6DDD"/>
    <w:rsid w:val="00F007F9"/>
    <w:rsid w:val="00F01420"/>
    <w:rsid w:val="00F0528D"/>
    <w:rsid w:val="00F06C67"/>
    <w:rsid w:val="00F06DFD"/>
    <w:rsid w:val="00F071D1"/>
    <w:rsid w:val="00F07533"/>
    <w:rsid w:val="00F10629"/>
    <w:rsid w:val="00F11EC5"/>
    <w:rsid w:val="00F15FA5"/>
    <w:rsid w:val="00F209B7"/>
    <w:rsid w:val="00F20F5C"/>
    <w:rsid w:val="00F22098"/>
    <w:rsid w:val="00F2376F"/>
    <w:rsid w:val="00F24005"/>
    <w:rsid w:val="00F243D8"/>
    <w:rsid w:val="00F30828"/>
    <w:rsid w:val="00F313D6"/>
    <w:rsid w:val="00F327D9"/>
    <w:rsid w:val="00F377B6"/>
    <w:rsid w:val="00F400DB"/>
    <w:rsid w:val="00F40F0C"/>
    <w:rsid w:val="00F45074"/>
    <w:rsid w:val="00F4766C"/>
    <w:rsid w:val="00F5060E"/>
    <w:rsid w:val="00F507D1"/>
    <w:rsid w:val="00F51092"/>
    <w:rsid w:val="00F519CE"/>
    <w:rsid w:val="00F51ADA"/>
    <w:rsid w:val="00F5531A"/>
    <w:rsid w:val="00F564F6"/>
    <w:rsid w:val="00F60203"/>
    <w:rsid w:val="00F607C5"/>
    <w:rsid w:val="00F60DEA"/>
    <w:rsid w:val="00F6302A"/>
    <w:rsid w:val="00F63950"/>
    <w:rsid w:val="00F64C2B"/>
    <w:rsid w:val="00F651BE"/>
    <w:rsid w:val="00F653CE"/>
    <w:rsid w:val="00F664A6"/>
    <w:rsid w:val="00F67F53"/>
    <w:rsid w:val="00F703BE"/>
    <w:rsid w:val="00F71F69"/>
    <w:rsid w:val="00F72B72"/>
    <w:rsid w:val="00F72DEA"/>
    <w:rsid w:val="00F74BB9"/>
    <w:rsid w:val="00F75582"/>
    <w:rsid w:val="00F76EFA"/>
    <w:rsid w:val="00F804BE"/>
    <w:rsid w:val="00F817CE"/>
    <w:rsid w:val="00F83C90"/>
    <w:rsid w:val="00F83CA0"/>
    <w:rsid w:val="00F8456C"/>
    <w:rsid w:val="00F859D8"/>
    <w:rsid w:val="00F868F5"/>
    <w:rsid w:val="00F9056A"/>
    <w:rsid w:val="00F90F8D"/>
    <w:rsid w:val="00F92782"/>
    <w:rsid w:val="00F93AA9"/>
    <w:rsid w:val="00F96985"/>
    <w:rsid w:val="00F97838"/>
    <w:rsid w:val="00FA2BB3"/>
    <w:rsid w:val="00FA5A89"/>
    <w:rsid w:val="00FB4C80"/>
    <w:rsid w:val="00FB6A6A"/>
    <w:rsid w:val="00FC7429"/>
    <w:rsid w:val="00FD07F6"/>
    <w:rsid w:val="00FD1EC8"/>
    <w:rsid w:val="00FD4517"/>
    <w:rsid w:val="00FD47ED"/>
    <w:rsid w:val="00FD74DB"/>
    <w:rsid w:val="00FD7660"/>
    <w:rsid w:val="00FE0655"/>
    <w:rsid w:val="00FE2365"/>
    <w:rsid w:val="00FE37D7"/>
    <w:rsid w:val="00FE4C7B"/>
    <w:rsid w:val="00FE6B26"/>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41087AE5-E9E2-492A-883E-37BCDD40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character" w:customStyle="1" w:styleId="apple-converted-space">
    <w:name w:val="apple-converted-space"/>
    <w:rsid w:val="00E91725"/>
  </w:style>
  <w:style w:type="character" w:styleId="Mention">
    <w:name w:val="Mention"/>
    <w:basedOn w:val="DefaultParagraphFont"/>
    <w:uiPriority w:val="99"/>
    <w:unhideWhenUsed/>
    <w:rsid w:val="009708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94820">
      <w:bodyDiv w:val="1"/>
      <w:marLeft w:val="0"/>
      <w:marRight w:val="0"/>
      <w:marTop w:val="0"/>
      <w:marBottom w:val="0"/>
      <w:divBdr>
        <w:top w:val="none" w:sz="0" w:space="0" w:color="auto"/>
        <w:left w:val="none" w:sz="0" w:space="0" w:color="auto"/>
        <w:bottom w:val="none" w:sz="0" w:space="0" w:color="auto"/>
        <w:right w:val="none" w:sz="0" w:space="0" w:color="auto"/>
      </w:divBdr>
    </w:div>
    <w:div w:id="190861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3</Pages>
  <Words>1121</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7143</CharactersWithSpaces>
  <SharedDoc>false</SharedDoc>
  <HLinks>
    <vt:vector size="54" baseType="variant">
      <vt:variant>
        <vt:i4>1114173</vt:i4>
      </vt:variant>
      <vt:variant>
        <vt:i4>32</vt:i4>
      </vt:variant>
      <vt:variant>
        <vt:i4>0</vt:i4>
      </vt:variant>
      <vt:variant>
        <vt:i4>5</vt:i4>
      </vt:variant>
      <vt:variant>
        <vt:lpwstr/>
      </vt:variant>
      <vt:variant>
        <vt:lpwstr>_Toc68179930</vt:lpwstr>
      </vt:variant>
      <vt:variant>
        <vt:i4>1572924</vt:i4>
      </vt:variant>
      <vt:variant>
        <vt:i4>29</vt:i4>
      </vt:variant>
      <vt:variant>
        <vt:i4>0</vt:i4>
      </vt:variant>
      <vt:variant>
        <vt:i4>5</vt:i4>
      </vt:variant>
      <vt:variant>
        <vt:lpwstr/>
      </vt:variant>
      <vt:variant>
        <vt:lpwstr>_Toc68179929</vt:lpwstr>
      </vt:variant>
      <vt:variant>
        <vt:i4>1638460</vt:i4>
      </vt:variant>
      <vt:variant>
        <vt:i4>26</vt:i4>
      </vt:variant>
      <vt:variant>
        <vt:i4>0</vt:i4>
      </vt:variant>
      <vt:variant>
        <vt:i4>5</vt:i4>
      </vt:variant>
      <vt:variant>
        <vt:lpwstr/>
      </vt:variant>
      <vt:variant>
        <vt:lpwstr>_Toc68179928</vt:lpwstr>
      </vt:variant>
      <vt:variant>
        <vt:i4>1441852</vt:i4>
      </vt:variant>
      <vt:variant>
        <vt:i4>23</vt:i4>
      </vt:variant>
      <vt:variant>
        <vt:i4>0</vt:i4>
      </vt:variant>
      <vt:variant>
        <vt:i4>5</vt:i4>
      </vt:variant>
      <vt:variant>
        <vt:lpwstr/>
      </vt:variant>
      <vt:variant>
        <vt:lpwstr>_Toc68179927</vt:lpwstr>
      </vt:variant>
      <vt:variant>
        <vt:i4>1507388</vt:i4>
      </vt:variant>
      <vt:variant>
        <vt:i4>20</vt:i4>
      </vt:variant>
      <vt:variant>
        <vt:i4>0</vt:i4>
      </vt:variant>
      <vt:variant>
        <vt:i4>5</vt:i4>
      </vt:variant>
      <vt:variant>
        <vt:lpwstr/>
      </vt:variant>
      <vt:variant>
        <vt:lpwstr>_Toc68179926</vt:lpwstr>
      </vt:variant>
      <vt:variant>
        <vt:i4>1310780</vt:i4>
      </vt:variant>
      <vt:variant>
        <vt:i4>17</vt:i4>
      </vt:variant>
      <vt:variant>
        <vt:i4>0</vt:i4>
      </vt:variant>
      <vt:variant>
        <vt:i4>5</vt:i4>
      </vt:variant>
      <vt:variant>
        <vt:lpwstr/>
      </vt:variant>
      <vt:variant>
        <vt:lpwstr>_Toc68179925</vt:lpwstr>
      </vt:variant>
      <vt:variant>
        <vt:i4>1376316</vt:i4>
      </vt:variant>
      <vt:variant>
        <vt:i4>14</vt:i4>
      </vt:variant>
      <vt:variant>
        <vt:i4>0</vt:i4>
      </vt:variant>
      <vt:variant>
        <vt:i4>5</vt:i4>
      </vt:variant>
      <vt:variant>
        <vt:lpwstr/>
      </vt:variant>
      <vt:variant>
        <vt:lpwstr>_Toc68179924</vt:lpwstr>
      </vt:variant>
      <vt:variant>
        <vt:i4>1179708</vt:i4>
      </vt:variant>
      <vt:variant>
        <vt:i4>11</vt:i4>
      </vt:variant>
      <vt:variant>
        <vt:i4>0</vt:i4>
      </vt:variant>
      <vt:variant>
        <vt:i4>5</vt:i4>
      </vt:variant>
      <vt:variant>
        <vt:lpwstr/>
      </vt:variant>
      <vt:variant>
        <vt:lpwstr>_Toc68179923</vt:lpwstr>
      </vt:variant>
      <vt:variant>
        <vt:i4>1245244</vt:i4>
      </vt:variant>
      <vt:variant>
        <vt:i4>8</vt:i4>
      </vt:variant>
      <vt:variant>
        <vt:i4>0</vt:i4>
      </vt:variant>
      <vt:variant>
        <vt:i4>5</vt:i4>
      </vt:variant>
      <vt:variant>
        <vt:lpwstr/>
      </vt:variant>
      <vt:variant>
        <vt:lpwstr>_Toc68179922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3</cp:revision>
  <cp:lastPrinted>2008-01-31T07:09:00Z</cp:lastPrinted>
  <dcterms:created xsi:type="dcterms:W3CDTF">2021-08-05T18:40:00Z</dcterms:created>
  <dcterms:modified xsi:type="dcterms:W3CDTF">2021-08-06T05:23:00Z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